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83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Joel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60"/>
        <w:spacing w:after="0" w:line="294" w:lineRule="auto"/>
        <w:rPr>
          <w:sz w:val="20"/>
          <w:szCs w:val="20"/>
          <w:color w:val="auto"/>
        </w:rPr>
      </w:pPr>
      <w:r>
        <w:rPr>
          <w:rFonts w:ascii="Times New Roman" w:cs="Times New Roman" w:eastAsia="Times New Roman" w:hAnsi="Times New Roman"/>
          <w:sz w:val="17"/>
          <w:szCs w:val="17"/>
          <w:color w:val="0000FF"/>
        </w:rPr>
        <w:t>C/O PETCO HEALTH AND WELLNESS COMPANY,</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INC., 10850 VIA FRONTERA</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Petco Health &amp; Wellness Company,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420" w:type="dxa"/>
            <w:vAlign w:val="bottom"/>
            <w:tcBorders>
              <w:bottom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WOOF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05/01/2026</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240"/>
          </w:cols>
          <w:pgMar w:left="460" w:top="219" w:right="359" w:bottom="99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2"/>
                <w:szCs w:val="12"/>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2,861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1,893,014</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2,429,235</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229,204</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2025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260,903</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A common stock of the Issuer were acquired under the Petco Health and Wellness Company, Inc. 2021 Employee Stock Purchase Plan in a transaction that was exempt under both Rule 16b-3(d) and Rule 16b-3(c).</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1,879,053 outstanding restricted stock units ("RSUs") granted under the Petco Health and Wellness Company, Inc. 2021 Equity Incentive Plan. Each RSU represents the right to receive one share of Class A common stock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Giovanni Insana,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9860" TargetMode="External"/><Relationship Id="rId14" Type="http://schemas.openxmlformats.org/officeDocument/2006/relationships/hyperlink" Target="http://www.sec.gov/cgi-bin/browse-edgar?action=getcompany&amp;CIK=0001826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2026-05-05T16:21:52Z</dcterms:created>
  <dcterms:modified xsi:type="dcterms:W3CDTF">2026-05-05T16:21:52Z</dcterms:modified>
</cp:coreProperties>
</file>