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80"/>
          <w:szCs w:val="80"/>
          <w:b w:val="1"/>
          <w:bCs w:val="1"/>
          <w:color w:val="FFFFFF"/>
        </w:rPr>
        <w:t>2025 Annual Report</w:t>
      </w:r>
    </w:p>
    <w:p>
      <w:pPr>
        <w:sectPr>
          <w:pgSz w:w="11880" w:h="15480" w:orient="portrait"/>
          <w:cols w:equalWidth="0" w:num="1">
            <w:col w:w="9360"/>
          </w:cols>
          <w:pgMar w:left="1080" w:top="1440" w:right="1440"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0</wp:posOffset>
            </wp:positionV>
            <wp:extent cx="7315200" cy="9829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52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54"/>
          <w:szCs w:val="54"/>
          <w:b w:val="1"/>
          <w:bCs w:val="1"/>
          <w:color w:val="1D2758"/>
        </w:rPr>
        <w:t>Dear Fellow Shareholders,</w:t>
      </w:r>
    </w:p>
    <w:p>
      <w:pPr>
        <w:spacing w:after="0" w:line="260" w:lineRule="exact"/>
        <w:rPr>
          <w:sz w:val="20"/>
          <w:szCs w:val="20"/>
          <w:color w:val="auto"/>
        </w:rPr>
      </w:pPr>
    </w:p>
    <w:p>
      <w:pPr>
        <w:jc w:val="both"/>
        <w:spacing w:after="0" w:line="298" w:lineRule="auto"/>
        <w:rPr>
          <w:sz w:val="20"/>
          <w:szCs w:val="20"/>
          <w:color w:val="auto"/>
        </w:rPr>
      </w:pPr>
      <w:r>
        <w:rPr>
          <w:rFonts w:ascii="Arial" w:cs="Arial" w:eastAsia="Arial" w:hAnsi="Arial"/>
          <w:sz w:val="30"/>
          <w:szCs w:val="30"/>
          <w:color w:val="1D2758"/>
        </w:rPr>
        <w:t>2025 marked Petco’s 60th anniversary milestone that reminded our over 29,000 partners of our deep heritage, the trust we’ve earned from generations of pet parents, and the immense opportunity ahead to leverage our unique position as the nation’s only fully integrated and comprehensive pet care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271145</wp:posOffset>
            </wp:positionV>
            <wp:extent cx="67437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43700" cy="25400"/>
                    </a:xfrm>
                    <a:prstGeom prst="rect">
                      <a:avLst/>
                    </a:prstGeom>
                    <a:noFill/>
                  </pic:spPr>
                </pic:pic>
              </a:graphicData>
            </a:graphic>
          </wp:anchor>
        </w:drawing>
      </w:r>
    </w:p>
    <w:p>
      <w:pPr>
        <w:sectPr>
          <w:pgSz w:w="11880" w:h="15480" w:orient="portrait"/>
          <w:cols w:equalWidth="0" w:num="1">
            <w:col w:w="9720"/>
          </w:cols>
          <w:pgMar w:left="1080" w:top="1440" w:right="108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326" w:lineRule="auto"/>
        <w:rPr>
          <w:sz w:val="20"/>
          <w:szCs w:val="20"/>
          <w:color w:val="auto"/>
        </w:rPr>
      </w:pPr>
      <w:r>
        <w:rPr>
          <w:rFonts w:ascii="Arial" w:cs="Arial" w:eastAsia="Arial" w:hAnsi="Arial"/>
          <w:sz w:val="27"/>
          <w:szCs w:val="27"/>
          <w:color w:val="1D2758"/>
        </w:rPr>
        <w:t>This past year, we developed and executed a robust customer strategy that sharpened our understanding of pet parents and positioned us to better deliver the products, services and experiences that support pets living their best lives, which remains the heart of our business. 2025 was a year of transformative execution, guided by our seasoned leadership team and the collective energy and expertise of our Petco partner community. I am encouraged by the momentum we have built and our strategy to return the business to sustainable, profitable growth in 2026. My confidence in the power and potential of the Petco brand has only grown stronger, and I am deeply optimistic about the road ahead.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Joel D.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-2536825</wp:posOffset>
            </wp:positionV>
            <wp:extent cx="2331720" cy="2364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31720" cy="23647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231F20"/>
        </w:rPr>
        <w:t>Chief Executive Officer</w:t>
      </w:r>
    </w:p>
    <w:p>
      <w:pPr>
        <w:sectPr>
          <w:pgSz w:w="11880" w:h="15480" w:orient="portrait"/>
          <w:cols w:equalWidth="0" w:num="2">
            <w:col w:w="5700" w:space="340"/>
            <w:col w:w="3680"/>
          </w:cols>
          <w:pgMar w:left="1080" w:top="1440" w:right="1080" w:bottom="1440" w:gutter="0" w:footer="0" w:header="0"/>
          <w:type w:val="continuous"/>
        </w:sectPr>
      </w:pPr>
    </w:p>
    <w:bookmarkStart w:id="3" w:name="page4"/>
    <w:bookmarkEnd w:id="3"/>
    <w:p>
      <w:pPr>
        <w:spacing w:after="0"/>
        <w:rPr>
          <w:sz w:val="20"/>
          <w:szCs w:val="20"/>
          <w:color w:val="auto"/>
        </w:rPr>
      </w:pPr>
      <w:r>
        <w:rPr>
          <w:rFonts w:ascii="Arial" w:cs="Arial" w:eastAsia="Arial" w:hAnsi="Arial"/>
          <w:sz w:val="28"/>
          <w:szCs w:val="28"/>
          <w:b w:val="1"/>
          <w:bCs w:val="1"/>
          <w:color w:val="231F20"/>
        </w:rPr>
        <w:t>Restoring Our Economic Model</w:t>
      </w:r>
    </w:p>
    <w:p>
      <w:pPr>
        <w:spacing w:after="0" w:line="135" w:lineRule="exact"/>
        <w:rPr>
          <w:sz w:val="20"/>
          <w:szCs w:val="20"/>
          <w:color w:val="auto"/>
        </w:rPr>
      </w:pPr>
    </w:p>
    <w:p>
      <w:pPr>
        <w:ind w:right="2300"/>
        <w:spacing w:after="0" w:line="286" w:lineRule="auto"/>
        <w:rPr>
          <w:sz w:val="20"/>
          <w:szCs w:val="20"/>
          <w:color w:val="auto"/>
        </w:rPr>
      </w:pPr>
      <w:r>
        <w:rPr>
          <w:rFonts w:ascii="Arial" w:cs="Arial" w:eastAsia="Arial" w:hAnsi="Arial"/>
          <w:sz w:val="22"/>
          <w:szCs w:val="22"/>
          <w:color w:val="231F20"/>
        </w:rPr>
        <w:t>In 2025, we delivered significantly higher profitability and cash flow through our disciplined execution, accountability and decisive action to strengthen our financial foundation. Our team exceeded profitability expectations, delivering positive full-year GAAP net income and growing cash from operations by 77%. Our improved profitability combined with opportunistic debt prepayments allowed us to reduce our leverage ratio meaningfully by year-end. We began 2026 by successfully extending our debt maturities to 2031, providing the financial flexibility needed as we transition our posture from stabilization to a focus on sustainable, profitable growth.</w:t>
      </w:r>
    </w:p>
    <w:p>
      <w:pPr>
        <w:spacing w:after="0" w:line="200" w:lineRule="exact"/>
        <w:rPr>
          <w:sz w:val="20"/>
          <w:szCs w:val="20"/>
          <w:color w:val="auto"/>
        </w:rPr>
      </w:pPr>
    </w:p>
    <w:p>
      <w:pPr>
        <w:spacing w:after="0" w:line="204" w:lineRule="exact"/>
        <w:rPr>
          <w:sz w:val="20"/>
          <w:szCs w:val="20"/>
          <w:color w:val="auto"/>
        </w:rPr>
      </w:pPr>
    </w:p>
    <w:p>
      <w:pPr>
        <w:ind w:right="2680"/>
        <w:spacing w:after="0" w:line="279" w:lineRule="auto"/>
        <w:rPr>
          <w:sz w:val="20"/>
          <w:szCs w:val="20"/>
          <w:color w:val="auto"/>
        </w:rPr>
      </w:pPr>
      <w:r>
        <w:rPr>
          <w:rFonts w:ascii="Arial" w:cs="Arial" w:eastAsia="Arial" w:hAnsi="Arial"/>
          <w:sz w:val="28"/>
          <w:szCs w:val="28"/>
          <w:b w:val="1"/>
          <w:bCs w:val="1"/>
          <w:color w:val="231F20"/>
        </w:rPr>
        <w:t>Executing on Operational Improvement; Progress is Ongoing</w:t>
      </w:r>
    </w:p>
    <w:p>
      <w:pPr>
        <w:spacing w:after="0" w:line="45" w:lineRule="exact"/>
        <w:rPr>
          <w:sz w:val="20"/>
          <w:szCs w:val="20"/>
          <w:color w:val="auto"/>
        </w:rPr>
      </w:pPr>
    </w:p>
    <w:p>
      <w:pPr>
        <w:ind w:right="2720"/>
        <w:spacing w:after="0" w:line="284" w:lineRule="auto"/>
        <w:rPr>
          <w:sz w:val="20"/>
          <w:szCs w:val="20"/>
          <w:color w:val="auto"/>
        </w:rPr>
      </w:pPr>
      <w:r>
        <w:rPr>
          <w:rFonts w:ascii="Arial" w:cs="Arial" w:eastAsia="Arial" w:hAnsi="Arial"/>
          <w:sz w:val="22"/>
          <w:szCs w:val="22"/>
          <w:color w:val="231F20"/>
        </w:rPr>
        <w:t>Much of our success in 2025 was rooted in the rigorous execution of Phase Two of our three-phase turnaround, which focused on immediate operational improvements. Specifically, we enhanced our merchandising by optimizing our assortment to better align with consumer demand, allocating more shelf space to top-selling brands and high-velocity SKUs. We established a</w:t>
      </w:r>
    </w:p>
    <w:p>
      <w:pPr>
        <w:spacing w:after="0" w:line="4" w:lineRule="exact"/>
        <w:rPr>
          <w:sz w:val="20"/>
          <w:szCs w:val="20"/>
          <w:color w:val="auto"/>
        </w:rPr>
      </w:pPr>
    </w:p>
    <w:p>
      <w:pPr>
        <w:ind w:right="4880"/>
        <w:spacing w:after="0" w:line="286" w:lineRule="auto"/>
        <w:rPr>
          <w:sz w:val="20"/>
          <w:szCs w:val="20"/>
          <w:color w:val="auto"/>
        </w:rPr>
      </w:pPr>
      <w:r>
        <w:rPr>
          <w:rFonts w:ascii="Arial" w:cs="Arial" w:eastAsia="Arial" w:hAnsi="Arial"/>
          <w:sz w:val="22"/>
          <w:szCs w:val="22"/>
          <w:color w:val="231F20"/>
        </w:rPr>
        <w:t>more disciplined cost structure by identifying supply chain inefficiencies and recalibrating our marketing spend. Finally, we improved the customer experience by setting new labor model standards that allow our store partners to spend more time with customers. Throughout this process we collaborated across the organization, bolstered our culture, communicated expectations, and acted with urgency and decisiveness. These weren’t one-time actions but rather the cultural and operational shifts necessary to yield the agility and productivity we see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-2397760</wp:posOffset>
            </wp:positionV>
            <wp:extent cx="3657600" cy="2377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57600" cy="237744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8"/>
          <w:szCs w:val="28"/>
          <w:b w:val="1"/>
          <w:bCs w:val="1"/>
          <w:color w:val="231F20"/>
        </w:rPr>
        <w:t>Our “North Star”: The Passionate Explorer</w:t>
      </w:r>
    </w:p>
    <w:p>
      <w:pPr>
        <w:spacing w:after="0" w:line="135" w:lineRule="exact"/>
        <w:rPr>
          <w:sz w:val="20"/>
          <w:szCs w:val="20"/>
          <w:color w:val="auto"/>
        </w:rPr>
      </w:pPr>
    </w:p>
    <w:p>
      <w:pPr>
        <w:ind w:right="2460"/>
        <w:spacing w:after="0" w:line="306" w:lineRule="auto"/>
        <w:rPr>
          <w:sz w:val="20"/>
          <w:szCs w:val="20"/>
          <w:color w:val="auto"/>
        </w:rPr>
      </w:pPr>
      <w:r>
        <w:rPr>
          <w:rFonts w:ascii="Arial" w:cs="Arial" w:eastAsia="Arial" w:hAnsi="Arial"/>
          <w:sz w:val="21"/>
          <w:szCs w:val="21"/>
          <w:color w:val="231F20"/>
        </w:rPr>
        <w:t>A critical achievement this past year was the completion of our Petco North Star Strategy, which included a comprehensive customer segmentation analysis. This work identified our most vital customer segment: Passionate Explorers. These are pet parents who are highly invested in their pets’ journeys and seek innovation, expert support and</w:t>
      </w:r>
    </w:p>
    <w:p>
      <w:pPr>
        <w:sectPr>
          <w:pgSz w:w="11880" w:h="15480" w:orient="portrait"/>
          <w:cols w:equalWidth="0" w:num="1">
            <w:col w:w="9360"/>
          </w:cols>
          <w:pgMar w:left="1080" w:top="1359" w:right="1440" w:bottom="772"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0</wp:posOffset>
            </wp:positionV>
            <wp:extent cx="6172200" cy="4073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407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80"/>
        <w:spacing w:after="0" w:line="294" w:lineRule="auto"/>
        <w:rPr>
          <w:sz w:val="20"/>
          <w:szCs w:val="20"/>
          <w:color w:val="auto"/>
        </w:rPr>
      </w:pPr>
      <w:r>
        <w:rPr>
          <w:rFonts w:ascii="Arial" w:cs="Arial" w:eastAsia="Arial" w:hAnsi="Arial"/>
          <w:sz w:val="22"/>
          <w:szCs w:val="22"/>
          <w:color w:val="231F20"/>
        </w:rPr>
        <w:t>a welcoming experience. This insight has fueled our updated brand positioning, “where the pets go… to live their real life,” and informs how we prioritize our assortment, services and experiences moving forward to capture a greater share of wallet.</w:t>
      </w:r>
    </w:p>
    <w:p>
      <w:pPr>
        <w:spacing w:after="0" w:line="2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8"/>
          <w:szCs w:val="28"/>
          <w:b w:val="1"/>
          <w:bCs w:val="1"/>
          <w:color w:val="231F20"/>
        </w:rPr>
        <w:t>Phase Three: Return to Revenue Growth - “Reach for the Sky” Strategy</w:t>
      </w:r>
    </w:p>
    <w:p>
      <w:pPr>
        <w:spacing w:after="0" w:line="135" w:lineRule="exact"/>
        <w:rPr>
          <w:sz w:val="20"/>
          <w:szCs w:val="20"/>
          <w:color w:val="auto"/>
        </w:rPr>
      </w:pPr>
    </w:p>
    <w:p>
      <w:pPr>
        <w:ind w:right="140"/>
        <w:spacing w:after="0" w:line="287" w:lineRule="auto"/>
        <w:rPr>
          <w:sz w:val="20"/>
          <w:szCs w:val="20"/>
          <w:color w:val="auto"/>
        </w:rPr>
      </w:pPr>
      <w:r>
        <w:rPr>
          <w:rFonts w:ascii="Arial" w:cs="Arial" w:eastAsia="Arial" w:hAnsi="Arial"/>
          <w:sz w:val="22"/>
          <w:szCs w:val="22"/>
          <w:color w:val="231F20"/>
        </w:rPr>
        <w:t>With our foundation firmly in place, we are now entering Phase Three of our strategy, which we call “Reach for the Sky.” This phase is about driving sustainable, profitable, top-line growth and reimagining Petco beyond a commodity-driven business. By combining the cost-saving rigor of the past year with an aggressive growth mindset, we are capitalizing on what we believe are “blue-sky” opportunities to increase store productivity and relevance, and our execution is centered on four growth pillars—compelling product, services at scale, trusted store experience and integrated omni-channel.</w:t>
      </w:r>
    </w:p>
    <w:p>
      <w:pPr>
        <w:spacing w:after="0" w:line="200" w:lineRule="exact"/>
        <w:rPr>
          <w:sz w:val="20"/>
          <w:szCs w:val="20"/>
          <w:color w:val="auto"/>
        </w:rPr>
      </w:pPr>
    </w:p>
    <w:p>
      <w:pPr>
        <w:spacing w:after="0" w:line="201" w:lineRule="exact"/>
        <w:rPr>
          <w:sz w:val="20"/>
          <w:szCs w:val="20"/>
          <w:color w:val="auto"/>
        </w:rPr>
      </w:pPr>
    </w:p>
    <w:p>
      <w:pPr>
        <w:ind w:right="1800"/>
        <w:spacing w:after="0" w:line="279" w:lineRule="auto"/>
        <w:rPr>
          <w:sz w:val="20"/>
          <w:szCs w:val="20"/>
          <w:color w:val="auto"/>
        </w:rPr>
      </w:pPr>
      <w:r>
        <w:rPr>
          <w:rFonts w:ascii="Arial" w:cs="Arial" w:eastAsia="Arial" w:hAnsi="Arial"/>
          <w:sz w:val="28"/>
          <w:szCs w:val="28"/>
          <w:b w:val="1"/>
          <w:bCs w:val="1"/>
          <w:color w:val="231F20"/>
        </w:rPr>
        <w:t>Compelling Product: Driving Growth Through Innovation and Differentiation</w:t>
      </w:r>
    </w:p>
    <w:p>
      <w:pPr>
        <w:spacing w:after="0" w:line="45" w:lineRule="exact"/>
        <w:rPr>
          <w:sz w:val="20"/>
          <w:szCs w:val="20"/>
          <w:color w:val="auto"/>
        </w:rPr>
      </w:pPr>
    </w:p>
    <w:p>
      <w:pPr>
        <w:spacing w:after="0" w:line="303" w:lineRule="auto"/>
        <w:rPr>
          <w:sz w:val="20"/>
          <w:szCs w:val="20"/>
          <w:color w:val="auto"/>
        </w:rPr>
      </w:pPr>
      <w:r>
        <w:rPr>
          <w:rFonts w:ascii="Arial" w:cs="Arial" w:eastAsia="Arial" w:hAnsi="Arial"/>
          <w:sz w:val="21"/>
          <w:szCs w:val="21"/>
          <w:color w:val="231F20"/>
        </w:rPr>
        <w:t>One of the biggest opportunities we have is to introduce new assortments that offer excitement and differentiation. One key area of focus is expanding our fresh food offering. This category experienced healthy growth in 2025 and is one that exemplifies the significant advantage of our store ecosystem. Of note, those who buy fresh dog food from us make over four more trips per year and spend over 50% more annually than dog food customers who purchase dry food only. Additionally, we are ramping our owned brands business within consumables and supplies, anchoring our strategy on our strongest private labels to innovate and create value across the pricing spectrum, fill market voids</w:t>
      </w:r>
    </w:p>
    <w:p>
      <w:pPr>
        <w:sectPr>
          <w:pgSz w:w="11880" w:h="15480" w:orient="portrait"/>
          <w:cols w:equalWidth="0" w:num="1">
            <w:col w:w="9720"/>
          </w:cols>
          <w:pgMar w:left="1080" w:top="1440" w:right="1080" w:bottom="977" w:gutter="0" w:footer="0" w:header="0"/>
        </w:sectPr>
      </w:pPr>
    </w:p>
    <w:bookmarkStart w:id="5" w:name="page6"/>
    <w:bookmarkEnd w:id="5"/>
    <w:p>
      <w:pPr>
        <w:ind w:left="4680"/>
        <w:spacing w:after="0" w:line="301" w:lineRule="auto"/>
        <w:rPr>
          <w:sz w:val="20"/>
          <w:szCs w:val="20"/>
          <w:color w:val="auto"/>
        </w:rPr>
      </w:pPr>
      <w:r>
        <w:rPr>
          <w:rFonts w:ascii="Arial" w:cs="Arial" w:eastAsia="Arial" w:hAnsi="Arial"/>
          <w:sz w:val="21"/>
          <w:szCs w:val="21"/>
          <w:color w:val="231F20"/>
        </w:rPr>
        <w:t>and drive higher margins. We are also launching a significant number of new national brands and flavors in the first half of 2026. Finally, in the supplies and companion animal category, we are introducing new assortments, such as insects, and recently launched “gardening with your pet.” To capitalize on the breadth of newness, we are rolling out product more frequently in an effort to bring innovation to the aisle quicker and entice customers to shop with us more often.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-1885315</wp:posOffset>
            </wp:positionV>
            <wp:extent cx="3657600" cy="4777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57600" cy="4777740"/>
                    </a:xfrm>
                    <a:prstGeom prst="rect">
                      <a:avLst/>
                    </a:prstGeom>
                    <a:noFill/>
                  </pic:spPr>
                </pic:pic>
              </a:graphicData>
            </a:graphic>
          </wp:anchor>
        </w:drawing>
      </w:r>
    </w:p>
    <w:p>
      <w:pPr>
        <w:spacing w:after="0" w:line="370" w:lineRule="exact"/>
        <w:rPr>
          <w:sz w:val="20"/>
          <w:szCs w:val="20"/>
          <w:color w:val="auto"/>
        </w:rPr>
      </w:pPr>
    </w:p>
    <w:p>
      <w:pPr>
        <w:ind w:left="4680"/>
        <w:spacing w:after="0"/>
        <w:rPr>
          <w:sz w:val="20"/>
          <w:szCs w:val="20"/>
          <w:color w:val="auto"/>
        </w:rPr>
      </w:pPr>
      <w:r>
        <w:rPr>
          <w:rFonts w:ascii="Arial" w:cs="Arial" w:eastAsia="Arial" w:hAnsi="Arial"/>
          <w:sz w:val="28"/>
          <w:szCs w:val="28"/>
          <w:b w:val="1"/>
          <w:bCs w:val="1"/>
          <w:color w:val="231F20"/>
        </w:rPr>
        <w:t>Maximizing Services at Scale</w:t>
      </w:r>
    </w:p>
    <w:p>
      <w:pPr>
        <w:spacing w:after="0" w:line="135" w:lineRule="exact"/>
        <w:rPr>
          <w:sz w:val="20"/>
          <w:szCs w:val="20"/>
          <w:color w:val="auto"/>
        </w:rPr>
      </w:pPr>
    </w:p>
    <w:p>
      <w:pPr>
        <w:ind w:left="4680" w:right="40"/>
        <w:spacing w:after="0" w:line="298" w:lineRule="auto"/>
        <w:rPr>
          <w:sz w:val="20"/>
          <w:szCs w:val="20"/>
          <w:color w:val="auto"/>
        </w:rPr>
      </w:pPr>
      <w:r>
        <w:rPr>
          <w:rFonts w:ascii="Arial" w:cs="Arial" w:eastAsia="Arial" w:hAnsi="Arial"/>
          <w:sz w:val="21"/>
          <w:szCs w:val="21"/>
          <w:color w:val="231F20"/>
        </w:rPr>
        <w:t>Services is the fastest-growing area of the pet category and is where we have an established leadership position and a differentiated model, given our wholly owned structure. Our services business includes full-service vet hospitals, vaccination clinics, grooming and dog training. We remain focused on optimizing the productivity of our approximately 300 vet hospitals and continue to see a sizable runway to maximize their potential. We are also pleased to share that we plan to resume expansion of new hospitals in 2027. We are now operating on a scale that gives us the depth of expertise, breadth of coverage and overall respect of the</w:t>
      </w:r>
    </w:p>
    <w:p>
      <w:pPr>
        <w:spacing w:after="0" w:line="3" w:lineRule="exact"/>
        <w:rPr>
          <w:sz w:val="20"/>
          <w:szCs w:val="20"/>
          <w:color w:val="auto"/>
        </w:rPr>
      </w:pPr>
    </w:p>
    <w:p>
      <w:pPr>
        <w:ind w:left="2160" w:right="20"/>
        <w:spacing w:after="0" w:line="304" w:lineRule="auto"/>
        <w:rPr>
          <w:sz w:val="20"/>
          <w:szCs w:val="20"/>
          <w:color w:val="auto"/>
        </w:rPr>
      </w:pPr>
      <w:r>
        <w:rPr>
          <w:rFonts w:ascii="Arial" w:cs="Arial" w:eastAsia="Arial" w:hAnsi="Arial"/>
          <w:sz w:val="22"/>
          <w:szCs w:val="22"/>
          <w:color w:val="231F20"/>
        </w:rPr>
        <w:t>industry to be a desired employer of choice for veterinarians and vet techs to grow their careers at Petco.</w:t>
      </w:r>
    </w:p>
    <w:p>
      <w:pPr>
        <w:spacing w:after="0" w:line="377" w:lineRule="exact"/>
        <w:rPr>
          <w:sz w:val="20"/>
          <w:szCs w:val="20"/>
          <w:color w:val="auto"/>
        </w:rPr>
      </w:pPr>
    </w:p>
    <w:p>
      <w:pPr>
        <w:ind w:left="2160" w:right="1760"/>
        <w:spacing w:after="0" w:line="279" w:lineRule="auto"/>
        <w:rPr>
          <w:sz w:val="20"/>
          <w:szCs w:val="20"/>
          <w:color w:val="auto"/>
        </w:rPr>
      </w:pPr>
      <w:r>
        <w:rPr>
          <w:rFonts w:ascii="Arial" w:cs="Arial" w:eastAsia="Arial" w:hAnsi="Arial"/>
          <w:sz w:val="28"/>
          <w:szCs w:val="28"/>
          <w:b w:val="1"/>
          <w:bCs w:val="1"/>
          <w:color w:val="231F20"/>
        </w:rPr>
        <w:t>Trusted Store Experience: Leveraging Our Differentiated Store Ecosystem</w:t>
      </w:r>
    </w:p>
    <w:p>
      <w:pPr>
        <w:spacing w:after="0" w:line="45" w:lineRule="exact"/>
        <w:rPr>
          <w:sz w:val="20"/>
          <w:szCs w:val="20"/>
          <w:color w:val="auto"/>
        </w:rPr>
      </w:pPr>
    </w:p>
    <w:p>
      <w:pPr>
        <w:ind w:left="2160" w:right="120"/>
        <w:spacing w:after="0" w:line="289" w:lineRule="auto"/>
        <w:rPr>
          <w:sz w:val="20"/>
          <w:szCs w:val="20"/>
          <w:color w:val="auto"/>
        </w:rPr>
      </w:pPr>
      <w:r>
        <w:rPr>
          <w:rFonts w:ascii="Arial" w:cs="Arial" w:eastAsia="Arial" w:hAnsi="Arial"/>
          <w:sz w:val="22"/>
          <w:szCs w:val="22"/>
          <w:color w:val="231F20"/>
        </w:rPr>
        <w:t>The heart of our competitive moat is our differentiated, high-touch store ecosystem. We have unified our store and services leadership to speak with one voice, focusing on driving traffic and basket size through disciplined cross-selling initiatives and supported by adding new technologies.</w:t>
      </w:r>
    </w:p>
    <w:p>
      <w:pPr>
        <w:spacing w:after="0" w:line="157" w:lineRule="exact"/>
        <w:rPr>
          <w:sz w:val="20"/>
          <w:szCs w:val="20"/>
          <w:color w:val="auto"/>
        </w:rPr>
      </w:pPr>
    </w:p>
    <w:p>
      <w:pPr>
        <w:jc w:val="both"/>
        <w:ind w:left="2160" w:right="420"/>
        <w:spacing w:after="0" w:line="314" w:lineRule="auto"/>
        <w:rPr>
          <w:sz w:val="20"/>
          <w:szCs w:val="20"/>
          <w:color w:val="auto"/>
        </w:rPr>
      </w:pPr>
      <w:r>
        <w:rPr>
          <w:rFonts w:ascii="Arial" w:cs="Arial" w:eastAsia="Arial" w:hAnsi="Arial"/>
          <w:sz w:val="21"/>
          <w:szCs w:val="21"/>
          <w:color w:val="231F20"/>
        </w:rPr>
        <w:t>Our goal is to leverage our stores to build community, excitement and customer loyalty through frequent newness, higher levels of customer engagement, such as hosting fun in-store events for families and pets,</w:t>
      </w:r>
    </w:p>
    <w:p>
      <w:pPr>
        <w:sectPr>
          <w:pgSz w:w="11880" w:h="15480" w:orient="portrait"/>
          <w:cols w:equalWidth="0" w:num="1">
            <w:col w:w="9360"/>
          </w:cols>
          <w:pgMar w:left="1440" w:top="1381" w:right="1080" w:bottom="1018" w:gutter="0" w:footer="0" w:header="0"/>
        </w:sectPr>
      </w:pPr>
    </w:p>
    <w:bookmarkStart w:id="6" w:name="page7"/>
    <w:bookmarkEnd w:id="6"/>
    <w:p>
      <w:pPr>
        <w:ind w:right="2400"/>
        <w:spacing w:after="0" w:line="289" w:lineRule="auto"/>
        <w:rPr>
          <w:sz w:val="20"/>
          <w:szCs w:val="20"/>
          <w:color w:val="auto"/>
        </w:rPr>
      </w:pPr>
      <w:r>
        <w:rPr>
          <w:rFonts w:ascii="Arial" w:cs="Arial" w:eastAsia="Arial" w:hAnsi="Arial"/>
          <w:sz w:val="22"/>
          <w:szCs w:val="22"/>
          <w:color w:val="231F20"/>
        </w:rPr>
        <w:t>and through our services that promote repeat visits. I want to highlight that our physical presence is a significant advantage for us as shopper demographics shift. With our customers over-indexing to Gen Z, we are uniquely positioned to capture this next generation’s desire for physical connection and experiences.</w:t>
      </w:r>
    </w:p>
    <w:p>
      <w:pPr>
        <w:spacing w:after="0" w:line="396" w:lineRule="exact"/>
        <w:rPr>
          <w:sz w:val="20"/>
          <w:szCs w:val="20"/>
          <w:color w:val="auto"/>
        </w:rPr>
      </w:pPr>
    </w:p>
    <w:p>
      <w:pPr>
        <w:spacing w:after="0"/>
        <w:rPr>
          <w:sz w:val="20"/>
          <w:szCs w:val="20"/>
          <w:color w:val="auto"/>
        </w:rPr>
      </w:pPr>
      <w:r>
        <w:rPr>
          <w:rFonts w:ascii="Arial" w:cs="Arial" w:eastAsia="Arial" w:hAnsi="Arial"/>
          <w:sz w:val="28"/>
          <w:szCs w:val="28"/>
          <w:b w:val="1"/>
          <w:bCs w:val="1"/>
          <w:color w:val="231F20"/>
        </w:rPr>
        <w:t>Accelerating Integrated Omni-Channel Growth</w:t>
      </w:r>
    </w:p>
    <w:p>
      <w:pPr>
        <w:spacing w:after="0" w:line="135" w:lineRule="exact"/>
        <w:rPr>
          <w:sz w:val="20"/>
          <w:szCs w:val="20"/>
          <w:color w:val="auto"/>
        </w:rPr>
      </w:pPr>
    </w:p>
    <w:p>
      <w:pPr>
        <w:ind w:right="2160"/>
        <w:spacing w:after="0" w:line="286" w:lineRule="auto"/>
        <w:rPr>
          <w:sz w:val="20"/>
          <w:szCs w:val="20"/>
          <w:color w:val="auto"/>
        </w:rPr>
      </w:pPr>
      <w:r>
        <w:rPr>
          <w:rFonts w:ascii="Arial" w:cs="Arial" w:eastAsia="Arial" w:hAnsi="Arial"/>
          <w:sz w:val="22"/>
          <w:szCs w:val="22"/>
          <w:color w:val="231F20"/>
        </w:rPr>
        <w:t>The final pillar of our strategy is an integrated omni-channel model. After strengthening our digital foundation in 2025, we are now turning up the dial on marketing and brand identity. This includes a refreshed media mix to better reflect the fun-loving energy of our stores under the “Where the Pets Go” banner. This evolution includes a more personalized loyalty program launching later this year, expanding our Autoship offering, growing our prescription business and offering new conveniences, such as giving Autoship customers the option to pick up orders in store. These initiatives are designed to leverage our digital tools to maximize both store traffic and conversion across all channels.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8"/>
          <w:szCs w:val="28"/>
          <w:b w:val="1"/>
          <w:bCs w:val="1"/>
          <w:color w:val="231F20"/>
        </w:rPr>
        <w:t>Executing With Confidence</w:t>
      </w:r>
    </w:p>
    <w:p>
      <w:pPr>
        <w:spacing w:after="0" w:line="135" w:lineRule="exact"/>
        <w:rPr>
          <w:sz w:val="20"/>
          <w:szCs w:val="20"/>
          <w:color w:val="auto"/>
        </w:rPr>
      </w:pPr>
    </w:p>
    <w:p>
      <w:pPr>
        <w:ind w:right="2200"/>
        <w:spacing w:after="0" w:line="301" w:lineRule="auto"/>
        <w:rPr>
          <w:sz w:val="20"/>
          <w:szCs w:val="20"/>
          <w:color w:val="auto"/>
        </w:rPr>
      </w:pPr>
      <w:r>
        <w:rPr>
          <w:rFonts w:ascii="Arial" w:cs="Arial" w:eastAsia="Arial" w:hAnsi="Arial"/>
          <w:sz w:val="21"/>
          <w:szCs w:val="21"/>
          <w:color w:val="231F20"/>
        </w:rPr>
        <w:t>In 2025, we delivered significant financial improvements, and it is with this backdrop that I am confident in the actions we are taking in 2026 to drive sustainable sales growth and profitability. I am incredibly proud of our field teams for their dedication as we move from a period of stabilization to offense. Our 2026 outlook reflects our strategic shifts and assumes improvement of the top and bottom line along with our continued focus on operational excellence. While the macroeconomic backdrop will likely remain volatile, our initiatives are largely self-help in nature and designed to further differentiate Petco. The future for Petco is bright, and I thank you for your continued support as we Reach for the 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760095</wp:posOffset>
            </wp:positionV>
            <wp:extent cx="1088390" cy="1384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8390" cy="138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231F20"/>
        </w:rPr>
        <w:t>Joel D. Anderson</w:t>
      </w:r>
    </w:p>
    <w:p>
      <w:pPr>
        <w:spacing w:after="0" w:line="31" w:lineRule="exact"/>
        <w:rPr>
          <w:sz w:val="20"/>
          <w:szCs w:val="20"/>
          <w:color w:val="auto"/>
        </w:rPr>
      </w:pPr>
    </w:p>
    <w:p>
      <w:pPr>
        <w:ind w:left="860"/>
        <w:spacing w:after="0"/>
        <w:rPr>
          <w:sz w:val="20"/>
          <w:szCs w:val="20"/>
          <w:color w:val="auto"/>
        </w:rPr>
      </w:pPr>
      <w:r>
        <w:rPr>
          <w:rFonts w:ascii="Arial" w:cs="Arial" w:eastAsia="Arial" w:hAnsi="Arial"/>
          <w:sz w:val="22"/>
          <w:szCs w:val="22"/>
          <w:color w:val="231F20"/>
        </w:rPr>
        <w:t>Chief Executive Officer</w:t>
      </w:r>
    </w:p>
    <w:p>
      <w:pPr>
        <w:sectPr>
          <w:pgSz w:w="11880" w:h="15480" w:orient="portrait"/>
          <w:cols w:equalWidth="0" w:num="1">
            <w:col w:w="9360"/>
          </w:cols>
          <w:pgMar w:left="1080" w:top="1381" w:right="1440" w:bottom="949" w:gutter="0" w:footer="0" w:header="0"/>
        </w:sectPr>
      </w:pPr>
    </w:p>
    <w:bookmarkStart w:id="7" w:name="page8"/>
    <w:bookmarkEnd w:id="7"/>
    <w:p>
      <w:pPr>
        <w:spacing w:after="0"/>
        <w:rPr>
          <w:sz w:val="20"/>
          <w:szCs w:val="20"/>
          <w:color w:val="auto"/>
        </w:rPr>
      </w:pPr>
      <w:r>
        <w:rPr>
          <w:rFonts w:ascii="Arial" w:cs="Arial" w:eastAsia="Arial" w:hAnsi="Arial"/>
          <w:sz w:val="36"/>
          <w:szCs w:val="36"/>
          <w:b w:val="1"/>
          <w:bCs w:val="1"/>
          <w:color w:val="1D2758"/>
        </w:rPr>
        <w:t>Forward-Looking Statements</w:t>
      </w:r>
    </w:p>
    <w:p>
      <w:pPr>
        <w:sectPr>
          <w:pgSz w:w="11880" w:h="15480" w:orient="portrait"/>
          <w:cols w:equalWidth="0" w:num="1">
            <w:col w:w="9720"/>
          </w:cols>
          <w:pgMar w:left="1080" w:top="1285" w:right="1080" w:bottom="685" w:gutter="0" w:footer="0" w:header="0"/>
        </w:sectPr>
      </w:pPr>
    </w:p>
    <w:p>
      <w:pPr>
        <w:spacing w:after="0" w:line="257" w:lineRule="exact"/>
        <w:rPr>
          <w:sz w:val="20"/>
          <w:szCs w:val="20"/>
          <w:color w:val="auto"/>
        </w:rPr>
      </w:pPr>
    </w:p>
    <w:p>
      <w:pPr>
        <w:spacing w:after="0" w:line="264" w:lineRule="auto"/>
        <w:rPr>
          <w:sz w:val="20"/>
          <w:szCs w:val="20"/>
          <w:color w:val="auto"/>
        </w:rPr>
      </w:pPr>
      <w:r>
        <w:rPr>
          <w:rFonts w:ascii="Arial" w:cs="Arial" w:eastAsia="Arial" w:hAnsi="Arial"/>
          <w:sz w:val="19"/>
          <w:szCs w:val="19"/>
          <w:color w:val="231F20"/>
        </w:rPr>
        <w:t>This letter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but not limited to, statements regarding our operational reset of our business, our competitive positioning, profitability, cash generation through our economic model, expense leverage, operating margin expansion, cost action plans and associated cost-savings, our path to sustainable, profitable growth, and our expectations regarding tariffs and associated impacts. Such forward-looking statements can generally be identified by the use of forward-looking terms such as “believes,” “expects,” “may,” “intends,” “will,” “shall,” “should,” “anticipates,” “opportunity,” “illustrative,” or the negative thereof or other variations thereon or comparable terminology. These statements are only predictions based on our current expectations and projections about future events and reflect our beliefs regarding such future events and do not represent historical facts or statements of current condition. Although Petco believes that the expectations and assumptions reflected in these statements are reasonable, there can be no assurance that these expectations will prove to be correct or that any forward-looking results will occur or be realized. Nothing contained in this letter is, or should be relied upon as, a promise or representation or warranty as to any future matter, including any matter in respect of the operations or business or financial condition of Petco. All forward-looking statements are based on current expectations and assumptions about future events that may or may not be correct or necessarily take place and that are by their nature subject to significant uncertainties and contingencies, many of which are outside the control of Petco. Forward-looking statements are subject to a number of risks, uncertainties and other factors that could cause actual results or events to differ materially from the potential results or events discussed in the forward-looking statements, including, without limitation, those identified in this earnings release as well as the following: (i) increased competition (including from multi-channel retailers, mass and</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color w:val="231F20"/>
        </w:rPr>
        <w:t>grocery retailers, and e-commerce providers); (ii) reduced consumer demand for our products and/ or services; (iii) our reliance on key vendors; (iv) our ability to attract and retain qualified employees; (v) risks arising from statutory, regulatory and/or legal developments; (vi) macroeconomic pressures in the markets in which we operate, including inflation, prevailing interest rates and the impact of tariffs;</w:t>
      </w:r>
    </w:p>
    <w:p>
      <w:pPr>
        <w:spacing w:after="0" w:line="5" w:lineRule="exact"/>
        <w:rPr>
          <w:sz w:val="20"/>
          <w:szCs w:val="20"/>
          <w:color w:val="auto"/>
        </w:rPr>
      </w:pPr>
    </w:p>
    <w:p>
      <w:pPr>
        <w:ind w:right="140"/>
        <w:spacing w:after="0" w:line="255" w:lineRule="auto"/>
        <w:tabs>
          <w:tab w:leader="none" w:pos="357" w:val="left"/>
        </w:tabs>
        <w:numPr>
          <w:ilvl w:val="0"/>
          <w:numId w:val="1"/>
        </w:numPr>
        <w:rPr>
          <w:rFonts w:ascii="Arial" w:cs="Arial" w:eastAsia="Arial" w:hAnsi="Arial"/>
          <w:sz w:val="20"/>
          <w:szCs w:val="20"/>
          <w:color w:val="231F20"/>
        </w:rPr>
      </w:pPr>
      <w:r>
        <w:rPr>
          <w:rFonts w:ascii="Arial" w:cs="Arial" w:eastAsia="Arial" w:hAnsi="Arial"/>
          <w:sz w:val="20"/>
          <w:szCs w:val="20"/>
          <w:color w:val="231F20"/>
        </w:rPr>
        <w:t>failure to effectively manage our costs; (viii) our reliance on our information technology systems;</w:t>
      </w:r>
    </w:p>
    <w:p>
      <w:pPr>
        <w:spacing w:after="0" w:line="1" w:lineRule="exact"/>
        <w:rPr>
          <w:rFonts w:ascii="Arial" w:cs="Arial" w:eastAsia="Arial" w:hAnsi="Arial"/>
          <w:sz w:val="20"/>
          <w:szCs w:val="20"/>
          <w:color w:val="231F20"/>
        </w:rPr>
      </w:pPr>
    </w:p>
    <w:p>
      <w:pPr>
        <w:ind w:right="20"/>
        <w:spacing w:after="0" w:line="269" w:lineRule="auto"/>
        <w:tabs>
          <w:tab w:leader="none" w:pos="315" w:val="left"/>
        </w:tabs>
        <w:numPr>
          <w:ilvl w:val="0"/>
          <w:numId w:val="2"/>
        </w:numPr>
        <w:rPr>
          <w:rFonts w:ascii="Arial" w:cs="Arial" w:eastAsia="Arial" w:hAnsi="Arial"/>
          <w:sz w:val="19"/>
          <w:szCs w:val="19"/>
          <w:color w:val="231F20"/>
        </w:rPr>
      </w:pPr>
      <w:r>
        <w:rPr>
          <w:rFonts w:ascii="Arial" w:cs="Arial" w:eastAsia="Arial" w:hAnsi="Arial"/>
          <w:sz w:val="19"/>
          <w:szCs w:val="19"/>
          <w:color w:val="231F20"/>
        </w:rPr>
        <w:t>our ability to prevent or effectively respond to a data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w:t>
      </w:r>
    </w:p>
    <w:p>
      <w:pPr>
        <w:ind w:right="20"/>
        <w:spacing w:after="0" w:line="255" w:lineRule="auto"/>
        <w:tabs>
          <w:tab w:leader="none" w:pos="410" w:val="left"/>
        </w:tabs>
        <w:numPr>
          <w:ilvl w:val="0"/>
          <w:numId w:val="3"/>
        </w:numPr>
        <w:rPr>
          <w:rFonts w:ascii="Arial" w:cs="Arial" w:eastAsia="Arial" w:hAnsi="Arial"/>
          <w:sz w:val="20"/>
          <w:szCs w:val="20"/>
          <w:color w:val="231F20"/>
        </w:rPr>
      </w:pPr>
      <w:r>
        <w:rPr>
          <w:rFonts w:ascii="Arial" w:cs="Arial" w:eastAsia="Arial" w:hAnsi="Arial"/>
          <w:sz w:val="20"/>
          <w:szCs w:val="20"/>
          <w:color w:val="231F20"/>
        </w:rPr>
        <w:t>catastrophic events, political tensions, conflicts and wars (such as the ongoing conflicts in Ukraine and the Middle East), government shutdowns,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(xx) impairments of the carrying value of our goodwill and other intangible assets; (xxi) our ability to successfully implement our operational adjustments, achieve the expected benefits of our cost action plans and drive improved profitability;</w:t>
      </w:r>
    </w:p>
    <w:p>
      <w:pPr>
        <w:spacing w:after="0" w:line="9" w:lineRule="exact"/>
        <w:rPr>
          <w:rFonts w:ascii="Arial" w:cs="Arial" w:eastAsia="Arial" w:hAnsi="Arial"/>
          <w:sz w:val="20"/>
          <w:szCs w:val="20"/>
          <w:color w:val="231F20"/>
        </w:rPr>
      </w:pPr>
    </w:p>
    <w:p>
      <w:pPr>
        <w:spacing w:after="0" w:line="257" w:lineRule="auto"/>
        <w:tabs>
          <w:tab w:leader="none" w:pos="461" w:val="left"/>
        </w:tabs>
        <w:numPr>
          <w:ilvl w:val="0"/>
          <w:numId w:val="4"/>
        </w:numPr>
        <w:rPr>
          <w:rFonts w:ascii="Arial" w:cs="Arial" w:eastAsia="Arial" w:hAnsi="Arial"/>
          <w:sz w:val="20"/>
          <w:szCs w:val="20"/>
          <w:color w:val="231F20"/>
        </w:rPr>
      </w:pPr>
      <w:r>
        <w:rPr>
          <w:rFonts w:ascii="Arial" w:cs="Arial" w:eastAsia="Arial" w:hAnsi="Arial"/>
          <w:sz w:val="20"/>
          <w:szCs w:val="20"/>
          <w:color w:val="231F20"/>
        </w:rPr>
        <w:t>our ability to deliver sustainable, profitable growth and (xxiii) the other risks, uncertainties and other factors identified under “Risk Factors” in our most recent Annual Report on Form 10-K and elsewhere in Petco’s Securities and Exchange Commission filings. The occurrence of any such factors could significantly alter the results set forth in these statements.</w:t>
      </w:r>
    </w:p>
    <w:p>
      <w:pPr>
        <w:spacing w:after="0" w:line="226"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231F20"/>
        </w:rPr>
        <w:t>Petco cautions that the foregoing list of risks, uncertainties and other factors is not complete, and forward-looking statements speak only as of the date they are made. Petco undertakes no duty to update publicly any such forward-looking statement, whether as a result of new information, future events or otherwise, except as may be required by applicable law, regulation or other competent legal authority.</w:t>
      </w:r>
    </w:p>
    <w:p>
      <w:pPr>
        <w:sectPr>
          <w:pgSz w:w="11880" w:h="15480" w:orient="portrait"/>
          <w:cols w:equalWidth="0" w:num="2">
            <w:col w:w="4640" w:space="400"/>
            <w:col w:w="4680"/>
          </w:cols>
          <w:pgMar w:left="1080" w:top="1285" w:right="1080" w:bottom="685"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8"/>
          <w:szCs w:val="28"/>
          <w:b w:val="1"/>
          <w:bCs w:val="1"/>
          <w:color w:val="231F20"/>
        </w:rPr>
        <mc:AlternateContent>
          <mc:Choice Requires="wps">
            <w:drawing>
              <wp:anchor simplePos="0" relativeHeight="251657728" behindDoc="1" locked="0" layoutInCell="0" allowOverlap="1">
                <wp:simplePos x="0" y="0"/>
                <wp:positionH relativeFrom="page">
                  <wp:posOffset>800100</wp:posOffset>
                </wp:positionH>
                <wp:positionV relativeFrom="page">
                  <wp:posOffset>619760</wp:posOffset>
                </wp:positionV>
                <wp:extent cx="59436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pt,48.8pt" to="531pt,48.8pt" o:allowincell="f" strokecolor="#231F2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800100</wp:posOffset>
                </wp:positionH>
                <wp:positionV relativeFrom="page">
                  <wp:posOffset>638810</wp:posOffset>
                </wp:positionV>
                <wp:extent cx="59436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pt,50.3pt" to="531pt,50.3pt" o:allowincell="f" strokecolor="#231F20" strokeweight="0.75pt">
                <w10:wrap anchorx="page" anchory="page"/>
              </v:line>
            </w:pict>
          </mc:Fallback>
        </mc:AlternateContent>
        <w:t>UNITED STATES</w:t>
      </w:r>
    </w:p>
    <w:p>
      <w:pPr>
        <w:jc w:val="center"/>
        <w:spacing w:after="0" w:line="229" w:lineRule="auto"/>
        <w:rPr>
          <w:sz w:val="20"/>
          <w:szCs w:val="20"/>
          <w:color w:val="auto"/>
        </w:rPr>
      </w:pPr>
      <w:r>
        <w:rPr>
          <w:rFonts w:ascii="Times New Roman" w:cs="Times New Roman" w:eastAsia="Times New Roman" w:hAnsi="Times New Roman"/>
          <w:sz w:val="28"/>
          <w:szCs w:val="28"/>
          <w:b w:val="1"/>
          <w:bCs w:val="1"/>
          <w:color w:val="231F20"/>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231F20"/>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50165</wp:posOffset>
                </wp:positionV>
                <wp:extent cx="4572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3.95pt" to="252pt,3.95pt" o:allowincell="f" strokecolor="#231F20" strokeweight="1pt"/>
            </w:pict>
          </mc:Fallback>
        </mc:AlternateConten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78105</wp:posOffset>
                </wp:positionV>
                <wp:extent cx="4572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15pt" to="252pt,6.15pt" o:allowincell="f" strokecolor="#231F20" strokeweight="1pt"/>
            </w:pict>
          </mc:Fallback>
        </mc:AlternateConten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31F20"/>
        </w:rPr>
        <w:t>(Mark One)</w:t>
      </w:r>
    </w:p>
    <w:p>
      <w:pPr>
        <w:spacing w:after="0" w:line="6" w:lineRule="exact"/>
        <w:rPr>
          <w:sz w:val="20"/>
          <w:szCs w:val="20"/>
          <w:color w:val="auto"/>
        </w:rPr>
      </w:pPr>
    </w:p>
    <w:p>
      <w:pPr>
        <w:ind w:left="380" w:right="440" w:hanging="366"/>
        <w:spacing w:after="0" w:line="217" w:lineRule="auto"/>
        <w:tabs>
          <w:tab w:leader="none" w:pos="380" w:val="left"/>
        </w:tabs>
        <w:numPr>
          <w:ilvl w:val="0"/>
          <w:numId w:val="5"/>
        </w:numPr>
        <w:rPr>
          <w:rFonts w:ascii="Segoe UI" w:cs="Segoe UI" w:eastAsia="Segoe UI" w:hAnsi="Segoe UI"/>
          <w:sz w:val="20"/>
          <w:szCs w:val="20"/>
          <w:b w:val="1"/>
          <w:bCs w:val="1"/>
          <w:color w:val="231F20"/>
        </w:rPr>
      </w:pPr>
      <w:r>
        <w:rPr>
          <w:rFonts w:ascii="Times New Roman" w:cs="Times New Roman" w:eastAsia="Times New Roman" w:hAnsi="Times New Roman"/>
          <w:sz w:val="20"/>
          <w:szCs w:val="20"/>
          <w:b w:val="1"/>
          <w:bCs w:val="1"/>
          <w:color w:val="231F20"/>
        </w:rPr>
        <w:t>ANNUAL REPORT PURSUANT TO SECTION 13 OR 15(d) OF THE SECURITIES EXCHANGE ACT OF 1934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For the fiscal year ended January 31, 2026</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OR</w:t>
      </w:r>
    </w:p>
    <w:p>
      <w:pPr>
        <w:spacing w:after="0" w:line="16" w:lineRule="exact"/>
        <w:rPr>
          <w:sz w:val="20"/>
          <w:szCs w:val="20"/>
          <w:color w:val="auto"/>
        </w:rPr>
      </w:pPr>
    </w:p>
    <w:p>
      <w:pPr>
        <w:ind w:left="380" w:hanging="366"/>
        <w:spacing w:after="0"/>
        <w:tabs>
          <w:tab w:leader="none" w:pos="380" w:val="left"/>
        </w:tabs>
        <w:numPr>
          <w:ilvl w:val="0"/>
          <w:numId w:val="6"/>
        </w:numPr>
        <w:rPr>
          <w:rFonts w:ascii="Segoe UI" w:cs="Segoe UI" w:eastAsia="Segoe UI" w:hAnsi="Segoe UI"/>
          <w:sz w:val="19"/>
          <w:szCs w:val="19"/>
          <w:b w:val="1"/>
          <w:bCs w:val="1"/>
          <w:color w:val="231F20"/>
        </w:rPr>
      </w:pPr>
      <w:r>
        <w:rPr>
          <w:rFonts w:ascii="Times New Roman" w:cs="Times New Roman" w:eastAsia="Times New Roman" w:hAnsi="Times New Roman"/>
          <w:sz w:val="19"/>
          <w:szCs w:val="19"/>
          <w:b w:val="1"/>
          <w:bCs w:val="1"/>
          <w:color w:val="231F20"/>
        </w:rPr>
        <w:t>TRANSITION REPORT PURSUANT TO SECTION 13 OR 15(d) OF THE SECURITIES EXCHANGE</w:t>
      </w:r>
    </w:p>
    <w:p>
      <w:pPr>
        <w:ind w:left="380"/>
        <w:spacing w:after="0"/>
        <w:tabs>
          <w:tab w:leader="none" w:pos="6420" w:val="left"/>
        </w:tabs>
        <w:rPr>
          <w:sz w:val="20"/>
          <w:szCs w:val="20"/>
          <w:color w:val="auto"/>
        </w:rPr>
      </w:pPr>
      <w:r>
        <w:rPr>
          <w:rFonts w:ascii="Times New Roman" w:cs="Times New Roman" w:eastAsia="Times New Roman" w:hAnsi="Times New Roman"/>
          <w:sz w:val="20"/>
          <w:szCs w:val="20"/>
          <w:b w:val="1"/>
          <w:bCs w:val="1"/>
          <w:color w:val="231F20"/>
        </w:rPr>
        <w:t>ACT OF 1934 FOR THE TRANSITION PERIOD FROM</w:t>
      </w:r>
      <w:r>
        <w:rPr>
          <w:sz w:val="20"/>
          <w:szCs w:val="20"/>
          <w:color w:val="auto"/>
        </w:rPr>
        <w:tab/>
      </w:r>
      <w:r>
        <w:rPr>
          <w:rFonts w:ascii="Times New Roman" w:cs="Times New Roman" w:eastAsia="Times New Roman" w:hAnsi="Times New Roman"/>
          <w:sz w:val="19"/>
          <w:szCs w:val="19"/>
          <w:b w:val="1"/>
          <w:bCs w:val="1"/>
          <w:color w:val="231F20"/>
        </w:rPr>
        <w:t>TO</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Commission File Number 001-39878</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31F20"/>
        </w:rPr>
        <w:t>Petco Health and Wellness Company,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-196215</wp:posOffset>
                </wp:positionV>
                <wp:extent cx="4572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15.4499pt" to="252pt,-15.4499pt" o:allowincell="f" strokecolor="#231F20" strokeweight="1pt"/>
            </w:pict>
          </mc:Fallback>
        </mc:AlternateContent>
      </w:r>
    </w:p>
    <w:p>
      <w:pPr>
        <w:jc w:val="center"/>
        <w:spacing w:after="0"/>
        <w:rPr>
          <w:sz w:val="20"/>
          <w:szCs w:val="20"/>
          <w:color w:val="auto"/>
        </w:rPr>
      </w:pPr>
      <w:r>
        <w:rPr>
          <w:rFonts w:ascii="Times New Roman" w:cs="Times New Roman" w:eastAsia="Times New Roman" w:hAnsi="Times New Roman"/>
          <w:sz w:val="20"/>
          <w:szCs w:val="20"/>
          <w:b w:val="1"/>
          <w:bCs w:val="1"/>
          <w:color w:val="231F20"/>
        </w:rPr>
        <w:t>(Exact name of Registrant as specified in its Charter)</w:t>
      </w:r>
    </w:p>
    <w:p>
      <w:pPr>
        <w:sectPr>
          <w:pgSz w:w="11880" w:h="15480" w:orient="portrait"/>
          <w:cols w:equalWidth="0" w:num="1">
            <w:col w:w="9360"/>
          </w:cols>
          <w:pgMar w:left="1260" w:top="1039" w:right="1260" w:bottom="633" w:gutter="0" w:footer="0" w:header="0"/>
        </w:sectPr>
      </w:pPr>
    </w:p>
    <w:p>
      <w:pPr>
        <w:jc w:val="right"/>
        <w:ind w:right="1040"/>
        <w:spacing w:after="0"/>
        <w:rPr>
          <w:sz w:val="20"/>
          <w:szCs w:val="20"/>
          <w:color w:val="auto"/>
        </w:rPr>
      </w:pPr>
      <w:r>
        <w:rPr>
          <w:rFonts w:ascii="Times New Roman" w:cs="Times New Roman" w:eastAsia="Times New Roman" w:hAnsi="Times New Roman"/>
          <w:sz w:val="6"/>
          <w:szCs w:val="6"/>
          <w:color w:val="231F20"/>
        </w:rPr>
        <w: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16510</wp:posOffset>
                </wp:positionV>
                <wp:extent cx="4572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1.3pt" to="252pt,1.3pt" o:allowincell="f" strokecolor="#231F20" strokeweight="1pt"/>
            </w:pict>
          </mc:Fallback>
        </mc:AlternateContent>
      </w:r>
    </w:p>
    <w:p>
      <w:pPr>
        <w:spacing w:after="0" w:line="4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0"/>
          <w:szCs w:val="20"/>
          <w:b w:val="1"/>
          <w:bCs w:val="1"/>
          <w:color w:val="231F20"/>
        </w:rPr>
        <w:t>Delaware</w:t>
      </w:r>
    </w:p>
    <w:p>
      <w:pPr>
        <w:spacing w:after="0" w:line="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231F20"/>
        </w:rPr>
        <w:t>(State or other jurisdiction of</w:t>
      </w:r>
    </w:p>
    <w:p>
      <w:pPr>
        <w:ind w:left="1420"/>
        <w:spacing w:after="0"/>
        <w:rPr>
          <w:sz w:val="20"/>
          <w:szCs w:val="20"/>
          <w:color w:val="auto"/>
        </w:rPr>
      </w:pPr>
      <w:r>
        <w:rPr>
          <w:rFonts w:ascii="Times New Roman" w:cs="Times New Roman" w:eastAsia="Times New Roman" w:hAnsi="Times New Roman"/>
          <w:sz w:val="14"/>
          <w:szCs w:val="14"/>
          <w:b w:val="1"/>
          <w:bCs w:val="1"/>
          <w:color w:val="231F20"/>
        </w:rPr>
        <w:t>incorporation or organization)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6"/>
          <w:szCs w:val="16"/>
          <w:b w:val="1"/>
          <w:bCs w:val="1"/>
          <w:color w:val="231F20"/>
        </w:rPr>
        <w:t>81-1005932</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231F20"/>
        </w:rPr>
        <w:t>(I.R.S. Employer</w:t>
      </w:r>
    </w:p>
    <w:p>
      <w:pPr>
        <w:spacing w:after="0"/>
        <w:rPr>
          <w:sz w:val="20"/>
          <w:szCs w:val="20"/>
          <w:color w:val="auto"/>
        </w:rPr>
      </w:pPr>
      <w:r>
        <w:rPr>
          <w:rFonts w:ascii="Times New Roman" w:cs="Times New Roman" w:eastAsia="Times New Roman" w:hAnsi="Times New Roman"/>
          <w:sz w:val="14"/>
          <w:szCs w:val="14"/>
          <w:b w:val="1"/>
          <w:bCs w:val="1"/>
          <w:color w:val="231F20"/>
        </w:rPr>
        <w:t>Identification No.)</w:t>
      </w:r>
    </w:p>
    <w:p>
      <w:pPr>
        <w:spacing w:after="0" w:line="28" w:lineRule="exact"/>
        <w:rPr>
          <w:sz w:val="20"/>
          <w:szCs w:val="20"/>
          <w:color w:val="auto"/>
        </w:rPr>
      </w:pPr>
    </w:p>
    <w:p>
      <w:pPr>
        <w:sectPr>
          <w:pgSz w:w="11880" w:h="15480" w:orient="portrait"/>
          <w:cols w:equalWidth="0" w:num="2">
            <w:col w:w="5740" w:space="720"/>
            <w:col w:w="2900"/>
          </w:cols>
          <w:pgMar w:left="1260" w:top="1039" w:right="1260" w:bottom="633" w:gutter="0" w:footer="0" w:header="0"/>
          <w:type w:val="continuous"/>
        </w:sectPr>
      </w:pPr>
    </w:p>
    <w:p>
      <w:pPr>
        <w:ind w:left="1500"/>
        <w:spacing w:after="0"/>
        <w:rPr>
          <w:sz w:val="20"/>
          <w:szCs w:val="20"/>
          <w:color w:val="auto"/>
        </w:rPr>
      </w:pPr>
      <w:r>
        <w:rPr>
          <w:rFonts w:ascii="Times New Roman" w:cs="Times New Roman" w:eastAsia="Times New Roman" w:hAnsi="Times New Roman"/>
          <w:sz w:val="20"/>
          <w:szCs w:val="20"/>
          <w:b w:val="1"/>
          <w:bCs w:val="1"/>
          <w:color w:val="231F20"/>
        </w:rPr>
        <w:t>10850 Via Frontera</w:t>
      </w:r>
    </w:p>
    <w:p>
      <w:pPr>
        <w:spacing w:after="0" w:line="13" w:lineRule="exact"/>
        <w:rPr>
          <w:sz w:val="20"/>
          <w:szCs w:val="20"/>
          <w:color w:val="auto"/>
        </w:rPr>
      </w:pPr>
    </w:p>
    <w:p>
      <w:pPr>
        <w:ind w:left="1420"/>
        <w:spacing w:after="0"/>
        <w:tabs>
          <w:tab w:leader="none" w:pos="6740" w:val="left"/>
        </w:tabs>
        <w:rPr>
          <w:sz w:val="20"/>
          <w:szCs w:val="20"/>
          <w:color w:val="auto"/>
        </w:rPr>
      </w:pPr>
      <w:r>
        <w:rPr>
          <w:rFonts w:ascii="Times New Roman" w:cs="Times New Roman" w:eastAsia="Times New Roman" w:hAnsi="Times New Roman"/>
          <w:sz w:val="20"/>
          <w:szCs w:val="20"/>
          <w:b w:val="1"/>
          <w:bCs w:val="1"/>
          <w:color w:val="231F20"/>
        </w:rPr>
        <w:t>San Diego, California</w:t>
      </w:r>
      <w:r>
        <w:rPr>
          <w:sz w:val="20"/>
          <w:szCs w:val="20"/>
          <w:color w:val="auto"/>
        </w:rPr>
        <w:tab/>
      </w:r>
      <w:r>
        <w:rPr>
          <w:rFonts w:ascii="Times New Roman" w:cs="Times New Roman" w:eastAsia="Times New Roman" w:hAnsi="Times New Roman"/>
          <w:sz w:val="20"/>
          <w:szCs w:val="20"/>
          <w:b w:val="1"/>
          <w:bCs w:val="1"/>
          <w:color w:val="231F20"/>
        </w:rPr>
        <w:t>92127</w:t>
      </w:r>
    </w:p>
    <w:p>
      <w:pPr>
        <w:ind w:left="1180"/>
        <w:spacing w:after="0"/>
        <w:tabs>
          <w:tab w:leader="none" w:pos="6660" w:val="left"/>
        </w:tabs>
        <w:rPr>
          <w:sz w:val="20"/>
          <w:szCs w:val="20"/>
          <w:color w:val="auto"/>
        </w:rPr>
      </w:pPr>
      <w:r>
        <w:rPr>
          <w:rFonts w:ascii="Times New Roman" w:cs="Times New Roman" w:eastAsia="Times New Roman" w:hAnsi="Times New Roman"/>
          <w:sz w:val="14"/>
          <w:szCs w:val="14"/>
          <w:b w:val="1"/>
          <w:bCs w:val="1"/>
          <w:color w:val="231F20"/>
        </w:rPr>
        <w:t>(Address of principal executive offices)</w:t>
      </w:r>
      <w:r>
        <w:rPr>
          <w:sz w:val="20"/>
          <w:szCs w:val="20"/>
          <w:color w:val="auto"/>
        </w:rPr>
        <w:tab/>
      </w:r>
      <w:r>
        <w:rPr>
          <w:rFonts w:ascii="Times New Roman" w:cs="Times New Roman" w:eastAsia="Times New Roman" w:hAnsi="Times New Roman"/>
          <w:sz w:val="14"/>
          <w:szCs w:val="14"/>
          <w:b w:val="1"/>
          <w:bCs w:val="1"/>
          <w:color w:val="231F20"/>
        </w:rPr>
        <w:t>(Zip Code)</w:t>
      </w:r>
    </w:p>
    <w:p>
      <w:pPr>
        <w:spacing w:after="0" w:line="2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231F20"/>
        </w:rPr>
        <w:t>Registrant’s telephone number, including area code: (858) 453-7845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74295</wp:posOffset>
                </wp:positionV>
                <wp:extent cx="45720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72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85pt" to="252pt,5.85pt" o:allowincell="f" strokecolor="#231F20" strokeweight="1pt"/>
            </w:pict>
          </mc:Fallback>
        </mc:AlternateConten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Securities registered pursuant to Section 12(b) of the Act: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vMerge w:val="restart"/>
          </w:tcPr>
          <w:p>
            <w:pPr>
              <w:ind w:left="1320"/>
              <w:spacing w:after="0"/>
              <w:rPr>
                <w:sz w:val="20"/>
                <w:szCs w:val="20"/>
                <w:color w:val="auto"/>
              </w:rPr>
            </w:pPr>
            <w:r>
              <w:rPr>
                <w:rFonts w:ascii="Times New Roman" w:cs="Times New Roman" w:eastAsia="Times New Roman" w:hAnsi="Times New Roman"/>
                <w:sz w:val="16"/>
                <w:szCs w:val="16"/>
                <w:b w:val="1"/>
                <w:bCs w:val="1"/>
                <w:color w:val="231F20"/>
              </w:rPr>
              <w:t>Title of each class</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Trading</w:t>
            </w:r>
          </w:p>
        </w:tc>
        <w:tc>
          <w:tcPr>
            <w:tcW w:w="100" w:type="dxa"/>
            <w:vAlign w:val="bottom"/>
          </w:tcPr>
          <w:p>
            <w:pPr>
              <w:spacing w:after="0"/>
              <w:rPr>
                <w:sz w:val="16"/>
                <w:szCs w:val="16"/>
                <w:color w:val="auto"/>
              </w:rPr>
            </w:pPr>
          </w:p>
        </w:tc>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Name of each exchange on which registered</w:t>
            </w:r>
          </w:p>
        </w:tc>
        <w:tc>
          <w:tcPr>
            <w:tcW w:w="0" w:type="dxa"/>
            <w:vAlign w:val="bottom"/>
          </w:tcPr>
          <w:p>
            <w:pPr>
              <w:spacing w:after="0"/>
              <w:rPr>
                <w:sz w:val="1"/>
                <w:szCs w:val="1"/>
                <w:color w:val="auto"/>
              </w:rPr>
            </w:pPr>
          </w:p>
        </w:tc>
      </w:tr>
      <w:tr>
        <w:trPr>
          <w:trHeight w:val="202"/>
        </w:trPr>
        <w:tc>
          <w:tcPr>
            <w:tcW w:w="3820" w:type="dxa"/>
            <w:vAlign w:val="bottom"/>
            <w:tcBorders>
              <w:bottom w:val="single" w:sz="8" w:color="231F20"/>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Symbol(s)</w:t>
            </w:r>
          </w:p>
        </w:tc>
        <w:tc>
          <w:tcPr>
            <w:tcW w:w="100" w:type="dxa"/>
            <w:vAlign w:val="bottom"/>
          </w:tcPr>
          <w:p>
            <w:pPr>
              <w:spacing w:after="0"/>
              <w:rPr>
                <w:sz w:val="17"/>
                <w:szCs w:val="17"/>
                <w:color w:val="auto"/>
              </w:rPr>
            </w:pPr>
          </w:p>
        </w:tc>
        <w:tc>
          <w:tcPr>
            <w:tcW w:w="3820" w:type="dxa"/>
            <w:vAlign w:val="bottom"/>
            <w:tcBorders>
              <w:bottom w:val="single" w:sz="8" w:color="231F20"/>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231F20"/>
              </w:rPr>
              <w:t>Class A Common Stock, par value $0.001 per share</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231F20"/>
                <w:w w:val="99"/>
              </w:rPr>
              <w:t>WOOF</w:t>
            </w:r>
          </w:p>
        </w:tc>
        <w:tc>
          <w:tcPr>
            <w:tcW w:w="100" w:type="dxa"/>
            <w:vAlign w:val="bottom"/>
          </w:tcPr>
          <w:p>
            <w:pPr>
              <w:spacing w:after="0"/>
              <w:rPr>
                <w:sz w:val="17"/>
                <w:szCs w:val="17"/>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7"/>
                <w:szCs w:val="17"/>
                <w:color w:val="231F20"/>
                <w:w w:val="99"/>
              </w:rPr>
              <w:t>The Nasdaq Stock Market LLC</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231F20"/>
        </w:rPr>
        <w:t xml:space="preserve">Securities registered pursuant to Section 12(g) of the Act: </w:t>
      </w:r>
      <w:r>
        <w:rPr>
          <w:rFonts w:ascii="Times New Roman" w:cs="Times New Roman" w:eastAsia="Times New Roman" w:hAnsi="Times New Roman"/>
          <w:sz w:val="14"/>
          <w:szCs w:val="14"/>
          <w:b w:val="1"/>
          <w:bCs w:val="1"/>
          <w:color w:val="231F20"/>
        </w:rPr>
        <w:t>None</w:t>
      </w:r>
    </w:p>
    <w:p>
      <w:pPr>
        <w:spacing w:after="0" w:line="8" w:lineRule="exact"/>
        <w:rPr>
          <w:sz w:val="20"/>
          <w:szCs w:val="20"/>
          <w:color w:val="auto"/>
        </w:rPr>
      </w:pPr>
    </w:p>
    <w:p>
      <w:pPr>
        <w:ind w:right="1940"/>
        <w:spacing w:after="0" w:line="275" w:lineRule="auto"/>
        <w:rPr>
          <w:sz w:val="20"/>
          <w:szCs w:val="20"/>
          <w:color w:val="auto"/>
        </w:rPr>
      </w:pPr>
      <w:r>
        <w:rPr>
          <w:rFonts w:ascii="Times New Roman" w:cs="Times New Roman" w:eastAsia="Times New Roman" w:hAnsi="Times New Roman"/>
          <w:sz w:val="14"/>
          <w:szCs w:val="14"/>
          <w:color w:val="231F20"/>
        </w:rPr>
        <w:t xml:space="preserve">Indicate by check mark if the registrant is a well-known seasoned issuer, as defined in Rule 405 of the Securities Act. YES </w:t>
      </w:r>
      <w:r>
        <w:rPr>
          <w:rFonts w:ascii="Segoe UI" w:cs="Segoe UI" w:eastAsia="Segoe UI" w:hAnsi="Segoe UI"/>
          <w:sz w:val="14"/>
          <w:szCs w:val="14"/>
          <w:color w:val="231F20"/>
        </w:rPr>
        <w:t>ն</w:t>
      </w:r>
      <w:r>
        <w:rPr>
          <w:rFonts w:ascii="Times New Roman" w:cs="Times New Roman" w:eastAsia="Times New Roman" w:hAnsi="Times New Roman"/>
          <w:sz w:val="14"/>
          <w:szCs w:val="14"/>
          <w:color w:val="231F20"/>
        </w:rPr>
        <w:t xml:space="preserve"> NO </w:t>
      </w:r>
      <w:r>
        <w:rPr>
          <w:rFonts w:ascii="Segoe UI" w:cs="Segoe UI" w:eastAsia="Segoe UI" w:hAnsi="Segoe UI"/>
          <w:sz w:val="14"/>
          <w:szCs w:val="14"/>
          <w:color w:val="231F20"/>
        </w:rPr>
        <w:t>շ</w:t>
      </w:r>
      <w:r>
        <w:rPr>
          <w:rFonts w:ascii="Times New Roman" w:cs="Times New Roman" w:eastAsia="Times New Roman" w:hAnsi="Times New Roman"/>
          <w:sz w:val="14"/>
          <w:szCs w:val="14"/>
          <w:color w:val="231F20"/>
        </w:rPr>
        <w:t xml:space="preserve"> Indicate by check mark if the registrant is not required to file reports pursuant to Section 13 or 15(d) of the Act. YES </w:t>
      </w:r>
      <w:r>
        <w:rPr>
          <w:rFonts w:ascii="Segoe UI" w:cs="Segoe UI" w:eastAsia="Segoe UI" w:hAnsi="Segoe UI"/>
          <w:sz w:val="14"/>
          <w:szCs w:val="14"/>
          <w:color w:val="231F20"/>
        </w:rPr>
        <w:t>ն</w:t>
      </w:r>
      <w:r>
        <w:rPr>
          <w:rFonts w:ascii="Times New Roman" w:cs="Times New Roman" w:eastAsia="Times New Roman" w:hAnsi="Times New Roman"/>
          <w:sz w:val="14"/>
          <w:szCs w:val="14"/>
          <w:color w:val="231F20"/>
        </w:rPr>
        <w:t xml:space="preserve"> NO </w:t>
      </w:r>
      <w:r>
        <w:rPr>
          <w:rFonts w:ascii="Segoe UI" w:cs="Segoe UI" w:eastAsia="Segoe UI" w:hAnsi="Segoe UI"/>
          <w:sz w:val="14"/>
          <w:szCs w:val="14"/>
          <w:color w:val="231F20"/>
        </w:rPr>
        <w:t>շ</w:t>
      </w:r>
    </w:p>
    <w:p>
      <w:pPr>
        <w:ind w:right="160"/>
        <w:spacing w:after="0" w:line="229" w:lineRule="auto"/>
        <w:rPr>
          <w:sz w:val="20"/>
          <w:szCs w:val="20"/>
          <w:color w:val="auto"/>
        </w:rPr>
      </w:pPr>
      <w:r>
        <w:rPr>
          <w:rFonts w:ascii="Times New Roman" w:cs="Times New Roman" w:eastAsia="Times New Roman" w:hAnsi="Times New Roman"/>
          <w:sz w:val="13"/>
          <w:szCs w:val="13"/>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 xml:space="preserve">90 days. YES </w:t>
      </w:r>
      <w:r>
        <w:rPr>
          <w:rFonts w:ascii="Segoe UI" w:cs="Segoe UI" w:eastAsia="Segoe UI" w:hAnsi="Segoe UI"/>
          <w:sz w:val="14"/>
          <w:szCs w:val="14"/>
          <w:color w:val="231F20"/>
        </w:rPr>
        <w:t>շ</w:t>
      </w:r>
      <w:r>
        <w:rPr>
          <w:rFonts w:ascii="Times New Roman" w:cs="Times New Roman" w:eastAsia="Times New Roman" w:hAnsi="Times New Roman"/>
          <w:sz w:val="14"/>
          <w:szCs w:val="14"/>
          <w:color w:val="231F20"/>
        </w:rPr>
        <w:t xml:space="preserve"> NO </w:t>
      </w:r>
      <w:r>
        <w:rPr>
          <w:rFonts w:ascii="Segoe UI" w:cs="Segoe UI" w:eastAsia="Segoe UI" w:hAnsi="Segoe UI"/>
          <w:sz w:val="14"/>
          <w:szCs w:val="14"/>
          <w:color w:val="231F20"/>
        </w:rPr>
        <w:t>ն</w:t>
      </w:r>
    </w:p>
    <w:p>
      <w:pPr>
        <w:spacing w:after="0" w:line="2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4"/>
          <w:szCs w:val="14"/>
          <w:color w:val="231F20"/>
        </w:rPr>
        <w:t>շ</w:t>
      </w:r>
      <w:r>
        <w:rPr>
          <w:rFonts w:ascii="Times New Roman" w:cs="Times New Roman" w:eastAsia="Times New Roman" w:hAnsi="Times New Roman"/>
          <w:sz w:val="14"/>
          <w:szCs w:val="14"/>
          <w:color w:val="231F20"/>
        </w:rPr>
        <w:t xml:space="preserve"> NO </w:t>
      </w:r>
      <w:r>
        <w:rPr>
          <w:rFonts w:ascii="Segoe UI" w:cs="Segoe UI" w:eastAsia="Segoe UI" w:hAnsi="Segoe UI"/>
          <w:sz w:val="14"/>
          <w:szCs w:val="14"/>
          <w:color w:val="231F20"/>
        </w:rPr>
        <w:t>ն</w:t>
      </w:r>
    </w:p>
    <w:p>
      <w:pPr>
        <w:spacing w:after="0" w:line="1"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4"/>
          <w:szCs w:val="14"/>
          <w:color w:val="231F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231F20"/>
              </w:rPr>
              <w:t>Large accelerated filer</w:t>
            </w:r>
          </w:p>
        </w:tc>
        <w:tc>
          <w:tcPr>
            <w:tcW w:w="2880" w:type="dxa"/>
            <w:vAlign w:val="bottom"/>
          </w:tcPr>
          <w:p>
            <w:pPr>
              <w:ind w:left="180"/>
              <w:spacing w:after="0"/>
              <w:rPr>
                <w:sz w:val="20"/>
                <w:szCs w:val="20"/>
                <w:color w:val="auto"/>
              </w:rPr>
            </w:pPr>
            <w:r>
              <w:rPr>
                <w:rFonts w:ascii="Segoe UI" w:cs="Segoe UI" w:eastAsia="Segoe UI" w:hAnsi="Segoe UI"/>
                <w:sz w:val="14"/>
                <w:szCs w:val="14"/>
                <w:color w:val="231F20"/>
              </w:rPr>
              <w:t>ն</w:t>
            </w:r>
          </w:p>
        </w:tc>
        <w:tc>
          <w:tcPr>
            <w:tcW w:w="4360" w:type="dxa"/>
            <w:vAlign w:val="bottom"/>
          </w:tcPr>
          <w:p>
            <w:pPr>
              <w:ind w:left="2580"/>
              <w:spacing w:after="0"/>
              <w:rPr>
                <w:sz w:val="20"/>
                <w:szCs w:val="20"/>
                <w:color w:val="auto"/>
              </w:rPr>
            </w:pPr>
            <w:r>
              <w:rPr>
                <w:rFonts w:ascii="Times New Roman" w:cs="Times New Roman" w:eastAsia="Times New Roman" w:hAnsi="Times New Roman"/>
                <w:sz w:val="14"/>
                <w:szCs w:val="14"/>
                <w:color w:val="231F20"/>
              </w:rPr>
              <w:t>Accelerated filer</w:t>
            </w:r>
          </w:p>
        </w:tc>
        <w:tc>
          <w:tcPr>
            <w:tcW w:w="340" w:type="dxa"/>
            <w:vAlign w:val="bottom"/>
          </w:tcPr>
          <w:p>
            <w:pPr>
              <w:ind w:left="220"/>
              <w:spacing w:after="0"/>
              <w:rPr>
                <w:sz w:val="20"/>
                <w:szCs w:val="20"/>
                <w:color w:val="auto"/>
              </w:rPr>
            </w:pPr>
            <w:r>
              <w:rPr>
                <w:rFonts w:ascii="Segoe UI" w:cs="Segoe UI" w:eastAsia="Segoe UI" w:hAnsi="Segoe UI"/>
                <w:sz w:val="14"/>
                <w:szCs w:val="14"/>
                <w:color w:val="231F20"/>
              </w:rPr>
              <w:t>շ</w:t>
            </w:r>
          </w:p>
        </w:tc>
      </w:tr>
      <w:tr>
        <w:trPr>
          <w:trHeight w:val="340"/>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231F20"/>
              </w:rPr>
              <w:t>Non-accelerated filer</w:t>
            </w:r>
          </w:p>
        </w:tc>
        <w:tc>
          <w:tcPr>
            <w:tcW w:w="2880" w:type="dxa"/>
            <w:vAlign w:val="bottom"/>
          </w:tcPr>
          <w:p>
            <w:pPr>
              <w:ind w:left="180"/>
              <w:spacing w:after="0"/>
              <w:rPr>
                <w:sz w:val="20"/>
                <w:szCs w:val="20"/>
                <w:color w:val="auto"/>
              </w:rPr>
            </w:pPr>
            <w:r>
              <w:rPr>
                <w:rFonts w:ascii="Segoe UI" w:cs="Segoe UI" w:eastAsia="Segoe UI" w:hAnsi="Segoe UI"/>
                <w:sz w:val="14"/>
                <w:szCs w:val="14"/>
                <w:color w:val="231F20"/>
              </w:rPr>
              <w:t>ն</w:t>
            </w:r>
          </w:p>
        </w:tc>
        <w:tc>
          <w:tcPr>
            <w:tcW w:w="4360" w:type="dxa"/>
            <w:vAlign w:val="bottom"/>
          </w:tcPr>
          <w:p>
            <w:pPr>
              <w:ind w:left="2580"/>
              <w:spacing w:after="0"/>
              <w:rPr>
                <w:sz w:val="20"/>
                <w:szCs w:val="20"/>
                <w:color w:val="auto"/>
              </w:rPr>
            </w:pPr>
            <w:r>
              <w:rPr>
                <w:rFonts w:ascii="Times New Roman" w:cs="Times New Roman" w:eastAsia="Times New Roman" w:hAnsi="Times New Roman"/>
                <w:sz w:val="14"/>
                <w:szCs w:val="14"/>
                <w:color w:val="231F20"/>
              </w:rPr>
              <w:t>Smaller reporting company</w:t>
            </w:r>
          </w:p>
        </w:tc>
        <w:tc>
          <w:tcPr>
            <w:tcW w:w="340" w:type="dxa"/>
            <w:vAlign w:val="bottom"/>
          </w:tcPr>
          <w:p>
            <w:pPr>
              <w:ind w:left="220"/>
              <w:spacing w:after="0"/>
              <w:rPr>
                <w:sz w:val="20"/>
                <w:szCs w:val="20"/>
                <w:color w:val="auto"/>
              </w:rPr>
            </w:pPr>
            <w:r>
              <w:rPr>
                <w:rFonts w:ascii="Segoe UI" w:cs="Segoe UI" w:eastAsia="Segoe UI" w:hAnsi="Segoe UI"/>
                <w:sz w:val="14"/>
                <w:szCs w:val="14"/>
                <w:color w:val="231F20"/>
              </w:rPr>
              <w:t>ն</w:t>
            </w:r>
          </w:p>
        </w:tc>
      </w:tr>
      <w:tr>
        <w:trPr>
          <w:trHeight w:val="341"/>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231F20"/>
              </w:rPr>
              <w:t>Emerging growth company</w:t>
            </w:r>
          </w:p>
        </w:tc>
        <w:tc>
          <w:tcPr>
            <w:tcW w:w="2880" w:type="dxa"/>
            <w:vAlign w:val="bottom"/>
          </w:tcPr>
          <w:p>
            <w:pPr>
              <w:ind w:left="180"/>
              <w:spacing w:after="0"/>
              <w:rPr>
                <w:sz w:val="20"/>
                <w:szCs w:val="20"/>
                <w:color w:val="auto"/>
              </w:rPr>
            </w:pPr>
            <w:r>
              <w:rPr>
                <w:rFonts w:ascii="Segoe UI" w:cs="Segoe UI" w:eastAsia="Segoe UI" w:hAnsi="Segoe UI"/>
                <w:sz w:val="14"/>
                <w:szCs w:val="14"/>
                <w:color w:val="231F20"/>
              </w:rPr>
              <w:t>ն</w:t>
            </w:r>
          </w:p>
        </w:tc>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4"/>
          <w:szCs w:val="14"/>
          <w:color w:val="231F20"/>
        </w:rPr>
        <w:t>ն</w:t>
      </w:r>
    </w:p>
    <w:p>
      <w:pPr>
        <w:spacing w:after="0" w:line="1" w:lineRule="exact"/>
        <w:rPr>
          <w:sz w:val="20"/>
          <w:szCs w:val="20"/>
          <w:color w:val="auto"/>
        </w:rPr>
      </w:pPr>
    </w:p>
    <w:p>
      <w:pPr>
        <w:ind w:right="360"/>
        <w:spacing w:after="0" w:line="229" w:lineRule="auto"/>
        <w:rPr>
          <w:sz w:val="20"/>
          <w:szCs w:val="20"/>
          <w:color w:val="auto"/>
        </w:rPr>
      </w:pPr>
      <w:r>
        <w:rPr>
          <w:rFonts w:ascii="Times New Roman" w:cs="Times New Roman" w:eastAsia="Times New Roman" w:hAnsi="Times New Roman"/>
          <w:sz w:val="13"/>
          <w:szCs w:val="13"/>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 xml:space="preserve">report. </w:t>
      </w:r>
      <w:r>
        <w:rPr>
          <w:rFonts w:ascii="Segoe UI" w:cs="Segoe UI" w:eastAsia="Segoe UI" w:hAnsi="Segoe UI"/>
          <w:sz w:val="14"/>
          <w:szCs w:val="14"/>
          <w:color w:val="231F20"/>
        </w:rPr>
        <w:t>շ</w:t>
      </w:r>
    </w:p>
    <w:p>
      <w:pPr>
        <w:spacing w:after="0" w:line="25"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4"/>
          <w:szCs w:val="14"/>
          <w:color w:val="231F20"/>
        </w:rPr>
        <w:t>ն</w:t>
      </w:r>
    </w:p>
    <w:p>
      <w:pPr>
        <w:spacing w:after="0" w:line="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4"/>
          <w:szCs w:val="14"/>
          <w:color w:val="231F20"/>
        </w:rPr>
        <w:t>ն</w:t>
      </w:r>
    </w:p>
    <w:p>
      <w:pPr>
        <w:spacing w:after="0"/>
        <w:rPr>
          <w:sz w:val="20"/>
          <w:szCs w:val="20"/>
          <w:color w:val="auto"/>
        </w:rPr>
      </w:pPr>
      <w:r>
        <w:rPr>
          <w:rFonts w:ascii="Times New Roman" w:cs="Times New Roman" w:eastAsia="Times New Roman" w:hAnsi="Times New Roman"/>
          <w:sz w:val="14"/>
          <w:szCs w:val="14"/>
          <w:color w:val="231F20"/>
        </w:rPr>
        <w:t xml:space="preserve">Indicate by check mark whether the registrant is a shell company (as defined in Rule 12b-2 of the Exchange Act). YES </w:t>
      </w:r>
      <w:r>
        <w:rPr>
          <w:rFonts w:ascii="Segoe UI" w:cs="Segoe UI" w:eastAsia="Segoe UI" w:hAnsi="Segoe UI"/>
          <w:sz w:val="14"/>
          <w:szCs w:val="14"/>
          <w:color w:val="231F20"/>
        </w:rPr>
        <w:t>ն</w:t>
      </w:r>
      <w:r>
        <w:rPr>
          <w:rFonts w:ascii="Times New Roman" w:cs="Times New Roman" w:eastAsia="Times New Roman" w:hAnsi="Times New Roman"/>
          <w:sz w:val="14"/>
          <w:szCs w:val="14"/>
          <w:color w:val="231F20"/>
        </w:rPr>
        <w:t xml:space="preserve"> NO </w:t>
      </w:r>
      <w:r>
        <w:rPr>
          <w:rFonts w:ascii="Segoe UI" w:cs="Segoe UI" w:eastAsia="Segoe UI" w:hAnsi="Segoe UI"/>
          <w:sz w:val="14"/>
          <w:szCs w:val="14"/>
          <w:color w:val="231F20"/>
        </w:rPr>
        <w:t>շ</w:t>
      </w:r>
    </w:p>
    <w:p>
      <w:pPr>
        <w:spacing w:after="0" w:line="25" w:lineRule="exact"/>
        <w:rPr>
          <w:sz w:val="20"/>
          <w:szCs w:val="20"/>
          <w:color w:val="auto"/>
        </w:rPr>
      </w:pPr>
    </w:p>
    <w:p>
      <w:pPr>
        <w:jc w:val="both"/>
        <w:ind w:right="100"/>
        <w:spacing w:after="0" w:line="229" w:lineRule="auto"/>
        <w:rPr>
          <w:sz w:val="20"/>
          <w:szCs w:val="20"/>
          <w:color w:val="auto"/>
        </w:rPr>
      </w:pPr>
      <w:r>
        <w:rPr>
          <w:rFonts w:ascii="Times New Roman" w:cs="Times New Roman" w:eastAsia="Times New Roman" w:hAnsi="Times New Roman"/>
          <w:sz w:val="14"/>
          <w:szCs w:val="14"/>
          <w:color w:val="231F20"/>
        </w:rPr>
        <w:t>The aggregate market value of the voting and non-voting common equity held by non-affiliates of the registrant, based on the closing price of the Common Stock on The Nasdaq Global Select Market on August 1, 2025, the last business day of the registrant’s most recently completed second fiscal quarter, was approximately $262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number of shares of registrant’s Class A Common Stock outstanding as of March 11, 2026 was 246,564,864.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number of shares of registrant’s Class B-1 Common Stock outstanding as of March 11, 2026 was 37,790,781.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number of shares of registrant’s Class B-2 Common Stock outstanding as of March 11, 2026 was 37,790,781.</w:t>
      </w:r>
    </w:p>
    <w:p>
      <w:pPr>
        <w:spacing w:after="0" w:line="80" w:lineRule="exact"/>
        <w:rPr>
          <w:sz w:val="20"/>
          <w:szCs w:val="20"/>
          <w:color w:val="auto"/>
        </w:rPr>
      </w:pPr>
    </w:p>
    <w:p>
      <w:pPr>
        <w:ind w:left="100"/>
        <w:spacing w:after="0"/>
        <w:tabs>
          <w:tab w:leader="none" w:pos="1400" w:val="left"/>
          <w:tab w:leader="none" w:pos="2720" w:val="left"/>
          <w:tab w:leader="none" w:pos="3940" w:val="left"/>
          <w:tab w:leader="none" w:pos="5720" w:val="left"/>
          <w:tab w:leader="none" w:pos="7160" w:val="left"/>
        </w:tabs>
        <w:rPr>
          <w:sz w:val="20"/>
          <w:szCs w:val="20"/>
          <w:color w:val="auto"/>
        </w:rPr>
      </w:pPr>
      <w:r>
        <w:rPr>
          <w:rFonts w:ascii="Times New Roman" w:cs="Times New Roman" w:eastAsia="Times New Roman" w:hAnsi="Times New Roman"/>
          <w:sz w:val="14"/>
          <w:szCs w:val="14"/>
          <w:color w:val="231F20"/>
        </w:rPr>
        <w:t>Auditor Firm Id:</w:t>
      </w:r>
      <w:r>
        <w:rPr>
          <w:sz w:val="20"/>
          <w:szCs w:val="20"/>
          <w:color w:val="auto"/>
        </w:rPr>
        <w:tab/>
      </w:r>
      <w:r>
        <w:rPr>
          <w:rFonts w:ascii="Times New Roman" w:cs="Times New Roman" w:eastAsia="Times New Roman" w:hAnsi="Times New Roman"/>
          <w:sz w:val="14"/>
          <w:szCs w:val="14"/>
          <w:color w:val="231F20"/>
        </w:rPr>
        <w:t>42</w:t>
      </w:r>
      <w:r>
        <w:rPr>
          <w:sz w:val="20"/>
          <w:szCs w:val="20"/>
          <w:color w:val="auto"/>
        </w:rPr>
        <w:tab/>
      </w:r>
      <w:r>
        <w:rPr>
          <w:rFonts w:ascii="Times New Roman" w:cs="Times New Roman" w:eastAsia="Times New Roman" w:hAnsi="Times New Roman"/>
          <w:sz w:val="14"/>
          <w:szCs w:val="14"/>
          <w:color w:val="231F20"/>
        </w:rPr>
        <w:t>Auditor Name:</w:t>
      </w:r>
      <w:r>
        <w:rPr>
          <w:sz w:val="20"/>
          <w:szCs w:val="20"/>
          <w:color w:val="auto"/>
        </w:rPr>
        <w:tab/>
      </w:r>
      <w:r>
        <w:rPr>
          <w:rFonts w:ascii="Times New Roman" w:cs="Times New Roman" w:eastAsia="Times New Roman" w:hAnsi="Times New Roman"/>
          <w:sz w:val="14"/>
          <w:szCs w:val="14"/>
          <w:color w:val="231F20"/>
        </w:rPr>
        <w:t>Ernst &amp; Young LLP</w:t>
      </w:r>
      <w:r>
        <w:rPr>
          <w:sz w:val="20"/>
          <w:szCs w:val="20"/>
          <w:color w:val="auto"/>
        </w:rPr>
        <w:tab/>
      </w:r>
      <w:r>
        <w:rPr>
          <w:rFonts w:ascii="Times New Roman" w:cs="Times New Roman" w:eastAsia="Times New Roman" w:hAnsi="Times New Roman"/>
          <w:sz w:val="14"/>
          <w:szCs w:val="14"/>
          <w:color w:val="231F20"/>
        </w:rPr>
        <w:t>Auditor Location:</w:t>
      </w:r>
      <w:r>
        <w:rPr>
          <w:sz w:val="20"/>
          <w:szCs w:val="20"/>
          <w:color w:val="auto"/>
        </w:rPr>
        <w:tab/>
      </w:r>
      <w:r>
        <w:rPr>
          <w:rFonts w:ascii="Times New Roman" w:cs="Times New Roman" w:eastAsia="Times New Roman" w:hAnsi="Times New Roman"/>
          <w:sz w:val="14"/>
          <w:szCs w:val="14"/>
          <w:color w:val="231F20"/>
        </w:rPr>
        <w:t>San Diego, California</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231F20"/>
        </w:rPr>
        <w:t>DOCUMENTS INCORPORATED BY REFERENCE</w:t>
      </w:r>
    </w:p>
    <w:p>
      <w:pPr>
        <w:sectPr>
          <w:pgSz w:w="11880" w:h="15480" w:orient="portrait"/>
          <w:cols w:equalWidth="0" w:num="1">
            <w:col w:w="9360"/>
          </w:cols>
          <w:pgMar w:left="1260" w:top="1039" w:right="1260" w:bottom="633" w:gutter="0" w:footer="0" w:header="0"/>
          <w:type w:val="continuous"/>
        </w:sectPr>
      </w:pPr>
    </w:p>
    <w:p>
      <w:pPr>
        <w:spacing w:after="0" w:line="45" w:lineRule="exact"/>
        <w:rPr>
          <w:sz w:val="20"/>
          <w:szCs w:val="20"/>
          <w:color w:val="auto"/>
        </w:rPr>
      </w:pPr>
    </w:p>
    <w:p>
      <w:pPr>
        <w:jc w:val="both"/>
        <w:ind w:right="180"/>
        <w:spacing w:after="0" w:line="236" w:lineRule="auto"/>
        <w:rPr>
          <w:sz w:val="20"/>
          <w:szCs w:val="20"/>
          <w:color w:val="auto"/>
        </w:rPr>
      </w:pPr>
      <w:r>
        <w:rPr>
          <w:rFonts w:ascii="Times New Roman" w:cs="Times New Roman" w:eastAsia="Times New Roman" w:hAnsi="Times New Roman"/>
          <w:sz w:val="14"/>
          <w:szCs w:val="14"/>
          <w:color w:val="231F20"/>
        </w:rPr>
        <w:t>The information required by Part III of this Annual Report on Form 10-K, to the extent not set forth herein, is incorporated herein by reference from the registrant’s definitive proxy statement to be filed pursuant to Regulation 14A in connection with the registrant’s 2026 annual meeting of stockholders within 120 days after the end of the fiscal year to which this Annual Report on Form 10-K relates.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52705</wp:posOffset>
                </wp:positionV>
                <wp:extent cx="594360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5pt" to="468pt,4.1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71755</wp:posOffset>
                </wp:positionV>
                <wp:extent cx="59436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5pt" to="468pt,5.65pt" o:allowincell="f" strokecolor="#231F20" strokeweight="0.75pt"/>
            </w:pict>
          </mc:Fallback>
        </mc:AlternateContent>
      </w:r>
    </w:p>
    <w:p>
      <w:pPr>
        <w:sectPr>
          <w:pgSz w:w="11880" w:h="15480" w:orient="portrait"/>
          <w:cols w:equalWidth="0" w:num="1">
            <w:col w:w="9360"/>
          </w:cols>
          <w:pgMar w:left="1260" w:top="1039" w:right="1260" w:bottom="633"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[THIS PAGE INTENTIONALLY LEFT BLANK]</w:t>
      </w:r>
    </w:p>
    <w:p>
      <w:pPr>
        <w:sectPr>
          <w:pgSz w:w="11880" w:h="15480" w:orient="portrait"/>
          <w:cols w:equalWidth="0" w:num="1">
            <w:col w:w="9000"/>
          </w:cols>
          <w:pgMar w:left="1440" w:top="1440"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74"/>
        </w:trPr>
        <w:tc>
          <w:tcPr>
            <w:tcW w:w="900" w:type="dxa"/>
            <w:vAlign w:val="bottom"/>
          </w:tcPr>
          <w:p>
            <w:pPr>
              <w:spacing w:after="0"/>
              <w:rPr>
                <w:sz w:val="23"/>
                <w:szCs w:val="23"/>
                <w:color w:val="auto"/>
              </w:rPr>
            </w:pPr>
          </w:p>
        </w:tc>
        <w:tc>
          <w:tcPr>
            <w:tcW w:w="7900" w:type="dxa"/>
            <w:vAlign w:val="bottom"/>
          </w:tcPr>
          <w:p>
            <w:pPr>
              <w:ind w:left="3020"/>
              <w:spacing w:after="0"/>
              <w:rPr>
                <w:sz w:val="20"/>
                <w:szCs w:val="20"/>
                <w:color w:val="auto"/>
              </w:rPr>
            </w:pPr>
            <w:r>
              <w:rPr>
                <w:rFonts w:ascii="Times New Roman" w:cs="Times New Roman" w:eastAsia="Times New Roman" w:hAnsi="Times New Roman"/>
                <w:sz w:val="20"/>
                <w:szCs w:val="20"/>
                <w:b w:val="1"/>
                <w:bCs w:val="1"/>
                <w:color w:val="231F20"/>
              </w:rPr>
              <w:t>Table of Contents</w:t>
            </w: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PART I</w:t>
            </w:r>
          </w:p>
        </w:tc>
        <w:tc>
          <w:tcPr>
            <w:tcW w:w="7900" w:type="dxa"/>
            <w:vAlign w:val="bottom"/>
          </w:tcPr>
          <w:p>
            <w:pPr>
              <w:spacing w:after="0"/>
              <w:rPr>
                <w:sz w:val="24"/>
                <w:szCs w:val="24"/>
                <w:color w:val="auto"/>
              </w:rPr>
            </w:pPr>
          </w:p>
        </w:tc>
        <w:tc>
          <w:tcPr>
            <w:tcW w:w="560" w:type="dxa"/>
            <w:vAlign w:val="bottom"/>
            <w:tcBorders>
              <w:bottom w:val="single" w:sz="8" w:color="231F20"/>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231F20"/>
              </w:rPr>
              <w:t>Page</w:t>
            </w:r>
          </w:p>
        </w:tc>
        <w:tc>
          <w:tcPr>
            <w:tcW w:w="0" w:type="dxa"/>
            <w:vAlign w:val="bottom"/>
          </w:tcPr>
          <w:p>
            <w:pPr>
              <w:spacing w:after="0"/>
              <w:rPr>
                <w:sz w:val="1"/>
                <w:szCs w:val="1"/>
                <w:color w:val="auto"/>
              </w:rPr>
            </w:pPr>
          </w:p>
        </w:tc>
      </w:tr>
      <w:tr>
        <w:trPr>
          <w:trHeight w:val="226"/>
        </w:trPr>
        <w:tc>
          <w:tcPr>
            <w:tcW w:w="900" w:type="dxa"/>
            <w:vAlign w:val="bottom"/>
            <w:vMerge w:val="continue"/>
          </w:tcPr>
          <w:p>
            <w:pPr>
              <w:spacing w:after="0"/>
              <w:rPr>
                <w:sz w:val="19"/>
                <w:szCs w:val="19"/>
                <w:color w:val="auto"/>
              </w:rPr>
            </w:pPr>
          </w:p>
        </w:tc>
        <w:tc>
          <w:tcPr>
            <w:tcW w:w="7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Business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1A.</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1B.</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Unresolved Staff Comments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1C.</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Cybersecurity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2.</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Properties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42</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3.</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0" w:type="dxa"/>
            <w:vAlign w:val="bottom"/>
          </w:tcPr>
          <w:p>
            <w:pPr>
              <w:spacing w:after="0"/>
              <w:rPr>
                <w:sz w:val="1"/>
                <w:szCs w:val="1"/>
                <w:color w:val="auto"/>
              </w:rPr>
            </w:pPr>
          </w:p>
        </w:tc>
      </w:tr>
      <w:tr>
        <w:trPr>
          <w:trHeight w:val="266"/>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4.</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0" w:type="dxa"/>
            <w:vAlign w:val="bottom"/>
          </w:tcPr>
          <w:p>
            <w:pPr>
              <w:spacing w:after="0"/>
              <w:rPr>
                <w:sz w:val="1"/>
                <w:szCs w:val="1"/>
                <w:color w:val="auto"/>
              </w:rPr>
            </w:pPr>
          </w:p>
        </w:tc>
      </w:tr>
      <w:tr>
        <w:trPr>
          <w:trHeight w:val="46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w:t>
            </w:r>
          </w:p>
        </w:tc>
        <w:tc>
          <w:tcPr>
            <w:tcW w:w="7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5.</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Market for Registrant’s Common Equity, Related Stockholder Matters and Issuer Purchases of</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Equity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6.</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[Reserved]</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7.</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7A.</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60</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8.</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Financial Statements and Supplementary Data</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Changes in and Disagreements With Accountants on Accounting and Financial Disclosure</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9A.</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9B.</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98</w:t>
            </w:r>
          </w:p>
        </w:tc>
        <w:tc>
          <w:tcPr>
            <w:tcW w:w="0" w:type="dxa"/>
            <w:vAlign w:val="bottom"/>
          </w:tcPr>
          <w:p>
            <w:pPr>
              <w:spacing w:after="0"/>
              <w:rPr>
                <w:sz w:val="1"/>
                <w:szCs w:val="1"/>
                <w:color w:val="auto"/>
              </w:rPr>
            </w:pPr>
          </w:p>
        </w:tc>
      </w:tr>
      <w:tr>
        <w:trPr>
          <w:trHeight w:val="266"/>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9C.</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Disclosure Regarding Foreign Jurisdictions that Prevent Inspections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99</w:t>
            </w:r>
          </w:p>
        </w:tc>
        <w:tc>
          <w:tcPr>
            <w:tcW w:w="0" w:type="dxa"/>
            <w:vAlign w:val="bottom"/>
          </w:tcPr>
          <w:p>
            <w:pPr>
              <w:spacing w:after="0"/>
              <w:rPr>
                <w:sz w:val="1"/>
                <w:szCs w:val="1"/>
                <w:color w:val="auto"/>
              </w:rPr>
            </w:pPr>
          </w:p>
        </w:tc>
      </w:tr>
      <w:tr>
        <w:trPr>
          <w:trHeight w:val="46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III</w:t>
            </w:r>
          </w:p>
        </w:tc>
        <w:tc>
          <w:tcPr>
            <w:tcW w:w="7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10.</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Directors, Executive Officers and Corporate Governance</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11.</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Executive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30"/>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12.</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Security Ownership of Certain Beneficial Owners and Management and Related Stockholder</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13.</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Certain Relationships and Related Transactions, and Director Independence</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66"/>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14.</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Principal Accounting Fees and Services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469"/>
        </w:trPr>
        <w:tc>
          <w:tcPr>
            <w:tcW w:w="90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IV</w:t>
            </w:r>
          </w:p>
        </w:tc>
        <w:tc>
          <w:tcPr>
            <w:tcW w:w="7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15.</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Exhibits, Financial Statement Schedules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w:t>
            </w:r>
          </w:p>
        </w:tc>
        <w:tc>
          <w:tcPr>
            <w:tcW w:w="0" w:type="dxa"/>
            <w:vAlign w:val="bottom"/>
          </w:tcPr>
          <w:p>
            <w:pPr>
              <w:spacing w:after="0"/>
              <w:rPr>
                <w:sz w:val="1"/>
                <w:szCs w:val="1"/>
                <w:color w:val="auto"/>
              </w:rPr>
            </w:pPr>
          </w:p>
        </w:tc>
      </w:tr>
      <w:tr>
        <w:trPr>
          <w:trHeight w:val="245"/>
        </w:trPr>
        <w:tc>
          <w:tcPr>
            <w:tcW w:w="9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16.</w:t>
            </w:r>
          </w:p>
        </w:tc>
        <w:tc>
          <w:tcPr>
            <w:tcW w:w="7900" w:type="dxa"/>
            <w:vAlign w:val="bottom"/>
          </w:tcPr>
          <w:p>
            <w:pPr>
              <w:ind w:left="40"/>
              <w:spacing w:after="0"/>
              <w:rPr>
                <w:sz w:val="20"/>
                <w:szCs w:val="20"/>
                <w:color w:val="auto"/>
              </w:rPr>
            </w:pPr>
            <w:r>
              <w:rPr>
                <w:rFonts w:ascii="Times New Roman" w:cs="Times New Roman" w:eastAsia="Times New Roman" w:hAnsi="Times New Roman"/>
                <w:sz w:val="20"/>
                <w:szCs w:val="20"/>
                <w:color w:val="231F20"/>
              </w:rPr>
              <w:t>Form 10-K Summary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0" w:type="dxa"/>
            <w:vAlign w:val="bottom"/>
          </w:tcPr>
          <w:p>
            <w:pPr>
              <w:spacing w:after="0"/>
              <w:rPr>
                <w:sz w:val="1"/>
                <w:szCs w:val="1"/>
                <w:color w:val="auto"/>
              </w:rPr>
            </w:pPr>
          </w:p>
        </w:tc>
      </w:tr>
      <w:tr>
        <w:trPr>
          <w:trHeight w:val="266"/>
        </w:trPr>
        <w:tc>
          <w:tcPr>
            <w:tcW w:w="88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231F20"/>
              </w:rPr>
              <w:t>Signatures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-4969510</wp:posOffset>
            </wp:positionV>
            <wp:extent cx="5943600" cy="4959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5943600" cy="4959350"/>
                    </a:xfrm>
                    <a:prstGeom prst="rect">
                      <a:avLst/>
                    </a:prstGeom>
                    <a:noFill/>
                  </pic:spPr>
                </pic:pic>
              </a:graphicData>
            </a:graphic>
          </wp:anchor>
        </w:drawing>
      </w:r>
    </w:p>
    <w:p>
      <w:pPr>
        <w:sectPr>
          <w:pgSz w:w="11880" w:h="15480" w:orient="portrait"/>
          <w:cols w:equalWidth="0" w:num="1">
            <w:col w:w="9360"/>
          </w:cols>
          <w:pgMar w:left="1260" w:top="87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w:t>
      </w:r>
    </w:p>
    <w:p>
      <w:pPr>
        <w:sectPr>
          <w:pgSz w:w="11880" w:h="15480" w:orient="portrait"/>
          <w:cols w:equalWidth="0" w:num="1">
            <w:col w:w="9360"/>
          </w:cols>
          <w:pgMar w:left="1260" w:top="876" w:right="1260" w:bottom="0" w:gutter="0" w:footer="0" w:header="0"/>
          <w:type w:val="continuous"/>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231F20"/>
        </w:rPr>
        <w:t>Note on the Presentation</w:t>
      </w:r>
    </w:p>
    <w:p>
      <w:pPr>
        <w:spacing w:after="0" w:line="124" w:lineRule="exact"/>
        <w:rPr>
          <w:sz w:val="20"/>
          <w:szCs w:val="20"/>
          <w:color w:val="auto"/>
        </w:rPr>
      </w:pPr>
    </w:p>
    <w:p>
      <w:pPr>
        <w:ind w:firstLine="719"/>
        <w:spacing w:after="0" w:line="247" w:lineRule="auto"/>
        <w:rPr>
          <w:sz w:val="20"/>
          <w:szCs w:val="20"/>
          <w:color w:val="auto"/>
        </w:rPr>
      </w:pPr>
      <w:r>
        <w:rPr>
          <w:rFonts w:ascii="Times New Roman" w:cs="Times New Roman" w:eastAsia="Times New Roman" w:hAnsi="Times New Roman"/>
          <w:sz w:val="20"/>
          <w:szCs w:val="20"/>
          <w:color w:val="231F20"/>
        </w:rPr>
        <w:t>Unless otherwise indicated or the context otherwise requires, references in this Annual Report on Form 10-K to (i) “Petco,” “our company,” “we,” “our,” and “us,” or like terms, refer to Petco Health and Wellness Company, Inc. and/or its subsidiaries, individually and/or collectively, and (ii) “common stock” refer to our Class A common stock, our Class B -1 common stock and our Class B-2 common stock, collectively. References to our certificate of incorporation and bylaws are to our second amended and restated certificate of incorporation, as amended, and our third amended and restated bylaws, respectively.</w:t>
      </w:r>
    </w:p>
    <w:p>
      <w:pPr>
        <w:spacing w:after="0" w:line="20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231F20"/>
        </w:rPr>
        <w:t>We are currently indirectly controlled by certain funds (the “CVC Funds”) that are advised and/or managed by CVC Capital Partners (“CVC”) and Canada Pension Plan Investment Board, a Canadian company (together with its affiliates, “CPP Investments” and, together with the CVC Funds, our “Sponsors”). Our Sponsors primarily exercise their control through Scooby Aggregator, LP (our “Principal Stockholder”).</w:t>
      </w:r>
    </w:p>
    <w:p>
      <w:pPr>
        <w:spacing w:after="0" w:line="194" w:lineRule="exact"/>
        <w:rPr>
          <w:sz w:val="20"/>
          <w:szCs w:val="20"/>
          <w:color w:val="auto"/>
        </w:rPr>
      </w:pPr>
    </w:p>
    <w:p>
      <w:pPr>
        <w:ind w:right="220" w:firstLine="720"/>
        <w:spacing w:after="0" w:line="258" w:lineRule="auto"/>
        <w:rPr>
          <w:sz w:val="20"/>
          <w:szCs w:val="20"/>
          <w:color w:val="auto"/>
        </w:rPr>
      </w:pPr>
      <w:r>
        <w:rPr>
          <w:rFonts w:ascii="Times New Roman" w:cs="Times New Roman" w:eastAsia="Times New Roman" w:hAnsi="Times New Roman"/>
          <w:sz w:val="20"/>
          <w:szCs w:val="20"/>
          <w:color w:val="231F20"/>
        </w:rPr>
        <w:t>We report on the basis of a 52- or 53-week fiscal year, which ends on the Saturday closest to January 31. References to “fiscal year” mean the year in which that fiscal year began. For example, references to fiscal 2025 refer to the fiscal year beginning February 2, 2025 and ending January 31, 2026.</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231F20"/>
        </w:rPr>
        <w:t>Industry and Market Data</w:t>
      </w:r>
    </w:p>
    <w:p>
      <w:pPr>
        <w:spacing w:after="0" w:line="244"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231F20"/>
        </w:rPr>
        <w:t>This Annual Report on Form 10- K includes market data and forecasts with respect to the pet care industry. Although we are responsible for all of the disclosure contained in this Annual Report on Form 10-K, in some cases we rely on and refer to market data and certain industry forecasts that were obtained from third-party surveys, market research, consultant surveys, publicly available information and industry publications and surveys that we believe to be reliable. Unless otherwise indicated, all market and industry data and other statistical information and forecasts contained in this Annual Report on Form 10-K are based on independent industry publications, government publications, reports by market research firms or other published independent sources, such as Packaged Facts, and other externally obtained data that we believe to be reliable. Some market and industry data, and statistical information and forecasts, are also based on management’s estimates, which are derived from our review of internal surveys as well as the independent sources referred to above. Any such market data, information or forecast may prove to be inaccurate because of the method by which we obtain it or because it cannot always be verified with complete certainty given the limits on the availability and reliability of raw data, the voluntary nature of the data gathering process, and other limitations and uncertainties, including those discussed under the caption “Risk Factors” in Part I, Item 1A of this Annual Report on Form 10-K. As a result, although we believe that these sources are reliable, we have not independently verified the information.</w:t>
      </w:r>
    </w:p>
    <w:p>
      <w:pPr>
        <w:sectPr>
          <w:pgSz w:w="11880" w:h="15480" w:orient="portrait"/>
          <w:cols w:equalWidth="0" w:num="1">
            <w:col w:w="9320"/>
          </w:cols>
          <w:pgMar w:left="1260" w:top="876"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9320"/>
          </w:cols>
          <w:pgMar w:left="1260" w:top="876" w:right="1300" w:bottom="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231F20"/>
        </w:rPr>
        <w:t>Cautionary Note Regarding Forward-Looking Statements</w:t>
      </w:r>
    </w:p>
    <w:p>
      <w:pPr>
        <w:spacing w:after="0" w:line="124" w:lineRule="exact"/>
        <w:rPr>
          <w:sz w:val="20"/>
          <w:szCs w:val="20"/>
          <w:color w:val="auto"/>
        </w:rPr>
      </w:pPr>
    </w:p>
    <w:p>
      <w:pPr>
        <w:ind w:right="160" w:firstLine="490"/>
        <w:spacing w:after="0" w:line="242" w:lineRule="auto"/>
        <w:rPr>
          <w:sz w:val="20"/>
          <w:szCs w:val="20"/>
          <w:color w:val="auto"/>
        </w:rPr>
      </w:pPr>
      <w:r>
        <w:rPr>
          <w:rFonts w:ascii="Times New Roman" w:cs="Times New Roman" w:eastAsia="Times New Roman" w:hAnsi="Times New Roman"/>
          <w:sz w:val="20"/>
          <w:szCs w:val="20"/>
          <w:color w:val="231F20"/>
        </w:rPr>
        <w:t>This Annual Report on Form 10-K contains “forward-looking statements” within the meaning of the Private Securities Litigation Reform Act of 1995, as contained in Section 27A of the Securities Act of 1933, as amended (the “Securities Act”), and Section 21E of the Securities Exchange Act of 1934, as amended (the “Exchange Act”), concerning expectations, beliefs, plans, objectives, goals, strategies, future events or performance, and underlying assumptions and other statements that are not statements of historical fact, including, but not limited to,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tariffs, inflationary and interest rate pressures, consumer spending patterns, global supply chain constraints, and global economic and geopolitical developments, on our business. Forward-looking and other statements in this Annual Report on Form</w:t>
      </w:r>
    </w:p>
    <w:p>
      <w:pPr>
        <w:spacing w:after="0" w:line="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231F20"/>
        </w:rPr>
        <w:t>10-K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(the “SEC”).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85"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Annual Report on Form 10-K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w:t>
      </w:r>
    </w:p>
    <w:p>
      <w:pPr>
        <w:spacing w:after="0" w:line="82" w:lineRule="exact"/>
        <w:rPr>
          <w:sz w:val="20"/>
          <w:szCs w:val="20"/>
          <w:color w:val="auto"/>
        </w:rPr>
      </w:pPr>
    </w:p>
    <w:p>
      <w:pPr>
        <w:ind w:right="20" w:firstLine="490"/>
        <w:spacing w:after="0" w:line="241" w:lineRule="auto"/>
        <w:rPr>
          <w:sz w:val="20"/>
          <w:szCs w:val="20"/>
          <w:color w:val="auto"/>
        </w:rPr>
      </w:pPr>
      <w:r>
        <w:rPr>
          <w:rFonts w:ascii="Times New Roman" w:cs="Times New Roman" w:eastAsia="Times New Roman" w:hAnsi="Times New Roman"/>
          <w:sz w:val="20"/>
          <w:szCs w:val="20"/>
          <w:color w:val="231F20"/>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Annual Report on Form 10-K as well as the following: (i) increased competition (including from multi-channel retailers, mass and grocery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prevailing interest rates, and the impact of tariffs; (vii) failure to effectively manage our costs; (viii) our reliance on our information technology systems; (ix) our ability to prevent or effectively respond to a data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conflicts in Ukraine and the Middle East), government shutdowns, health crises, and pandemics; (xiv) our ability to maintain positive brand perception and recognition; (xv) product safety and quality concerns; (xvi) changes to labor or employment laws or regulations;</w:t>
      </w:r>
    </w:p>
    <w:p>
      <w:pPr>
        <w:spacing w:after="0" w:line="14" w:lineRule="exact"/>
        <w:rPr>
          <w:sz w:val="20"/>
          <w:szCs w:val="20"/>
          <w:color w:val="auto"/>
        </w:rPr>
      </w:pPr>
    </w:p>
    <w:p>
      <w:pPr>
        <w:ind w:right="40"/>
        <w:spacing w:after="0" w:line="241" w:lineRule="auto"/>
        <w:tabs>
          <w:tab w:leader="none" w:pos="495" w:val="left"/>
        </w:tabs>
        <w:numPr>
          <w:ilvl w:val="0"/>
          <w:numId w:val="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our ability to effectively manage our real estate portfolio; (xviii) constraints in the capital markets or our vendor credit terms; (xix) changes in our credit ratings; (xx) impairments of the carrying value of our goodwill and other intangible assets; (xxi) our ability to successfully implement our operational adjustments, achieve the expected benefits of our cost action plans, and drive improved profitability; (xxii) our ability to deliver sustainable, profitable growth; and (xxiii) the other risks, uncertainties, and other factors identified herein under “Risk Factors” and “Management’s Discussion and Analysis of Financial Condition and Results of Operations.” The occurrence of any such factors could significantly alter the results set forth in these statements.</w:t>
      </w:r>
    </w:p>
    <w:p>
      <w:pPr>
        <w:spacing w:after="0" w:line="187" w:lineRule="exact"/>
        <w:rPr>
          <w:sz w:val="20"/>
          <w:szCs w:val="20"/>
          <w:color w:val="auto"/>
        </w:rPr>
      </w:pPr>
    </w:p>
    <w:p>
      <w:pPr>
        <w:ind w:right="340" w:firstLine="490"/>
        <w:spacing w:after="0" w:line="231" w:lineRule="auto"/>
        <w:rPr>
          <w:sz w:val="20"/>
          <w:szCs w:val="20"/>
          <w:color w:val="auto"/>
        </w:rPr>
      </w:pPr>
      <w:r>
        <w:rPr>
          <w:rFonts w:ascii="Times New Roman" w:cs="Times New Roman" w:eastAsia="Times New Roman" w:hAnsi="Times New Roman"/>
          <w:sz w:val="20"/>
          <w:szCs w:val="20"/>
          <w:color w:val="231F20"/>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ectPr>
          <w:pgSz w:w="11880" w:h="15480" w:orient="portrait"/>
          <w:cols w:equalWidth="0" w:num="1">
            <w:col w:w="9360"/>
          </w:cols>
          <w:pgMar w:left="1260" w:top="87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9360"/>
          </w:cols>
          <w:pgMar w:left="1260" w:top="876" w:right="1260" w:bottom="0" w:gutter="0" w:footer="0" w:header="0"/>
          <w:type w:val="continuous"/>
        </w:sectPr>
      </w:pPr>
    </w:p>
    <w:bookmarkStart w:id="13" w:name="page14"/>
    <w:bookmarkEnd w:id="13"/>
    <w:p>
      <w:pPr>
        <w:ind w:right="180" w:firstLine="490"/>
        <w:spacing w:after="0" w:line="247" w:lineRule="auto"/>
        <w:rPr>
          <w:sz w:val="20"/>
          <w:szCs w:val="20"/>
          <w:color w:val="auto"/>
        </w:rPr>
      </w:pPr>
      <w:r>
        <w:rPr>
          <w:rFonts w:ascii="Times New Roman" w:cs="Times New Roman" w:eastAsia="Times New Roman" w:hAnsi="Times New Roman"/>
          <w:sz w:val="20"/>
          <w:szCs w:val="20"/>
          <w:color w:val="231F20"/>
        </w:rPr>
        <w:t>In addition, statements such as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Risk Factors Summary</w:t>
      </w:r>
    </w:p>
    <w:p>
      <w:pPr>
        <w:spacing w:after="0" w:line="124"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31F20"/>
        </w:rPr>
        <w:t>Investing in our securities involves a high degree of risk. The following is a summary of the principal factors that make an investment in our securities speculative or risky, all of which are more fully described below in the section titled “Risk Factors.” This summary should be read in conjunction with the “Risk Factors” section and should not be relied upon as an exhaustive summary of the material risks facing our business. In addition to the following summary, you should consider the information set forth in the “Risk Factors” section and the other information contained in this Annual Report on Form 10-K before investing in our securities.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Risks Related to Our Business</w:t>
      </w:r>
    </w:p>
    <w:p>
      <w:pPr>
        <w:spacing w:after="0" w:line="134" w:lineRule="exact"/>
        <w:rPr>
          <w:sz w:val="20"/>
          <w:szCs w:val="20"/>
          <w:color w:val="auto"/>
        </w:rPr>
      </w:pPr>
    </w:p>
    <w:p>
      <w:pPr>
        <w:ind w:left="980" w:right="20" w:hanging="490"/>
        <w:spacing w:after="0" w:line="276"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A decline in consumer spending or a change in consumer preferences or demographics could reduce our sales or profitability and adversely affect our business.</w:t>
      </w:r>
    </w:p>
    <w:p>
      <w:pPr>
        <w:spacing w:after="0" w:line="64" w:lineRule="exact"/>
        <w:rPr>
          <w:rFonts w:ascii="Arial" w:cs="Arial" w:eastAsia="Arial" w:hAnsi="Arial"/>
          <w:sz w:val="20"/>
          <w:szCs w:val="20"/>
          <w:color w:val="231F20"/>
        </w:rPr>
      </w:pPr>
    </w:p>
    <w:p>
      <w:pPr>
        <w:ind w:left="980" w:right="180" w:hanging="490"/>
        <w:spacing w:after="0" w:line="258"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The growth of our business depends in part on our ability to accurately predict consumer trends, successfully introduce new products and services, improve existing products and services, and expand into new offerings.</w:t>
      </w:r>
    </w:p>
    <w:p>
      <w:pPr>
        <w:spacing w:after="0" w:line="81" w:lineRule="exact"/>
        <w:rPr>
          <w:rFonts w:ascii="Arial" w:cs="Arial" w:eastAsia="Arial" w:hAnsi="Arial"/>
          <w:sz w:val="20"/>
          <w:szCs w:val="20"/>
          <w:color w:val="231F20"/>
        </w:rPr>
      </w:pPr>
    </w:p>
    <w:p>
      <w:pPr>
        <w:ind w:left="980" w:right="100" w:hanging="490"/>
        <w:spacing w:after="0" w:line="258"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Competition in the markets in which we operate, including internet-based competition, is strong and if we are unable to compete effectively, our ability to generate sales may suffer and our operating income and net income could decline.</w:t>
      </w:r>
    </w:p>
    <w:p>
      <w:pPr>
        <w:spacing w:after="0" w:line="81" w:lineRule="exact"/>
        <w:rPr>
          <w:rFonts w:ascii="Arial" w:cs="Arial" w:eastAsia="Arial" w:hAnsi="Arial"/>
          <w:sz w:val="20"/>
          <w:szCs w:val="20"/>
          <w:color w:val="231F20"/>
        </w:rPr>
      </w:pPr>
    </w:p>
    <w:p>
      <w:pPr>
        <w:ind w:left="980" w:right="80" w:hanging="490"/>
        <w:spacing w:after="0" w:line="276"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be unable to execute our growth strategies successfully or manage and sustain our growth and, as a result, our business may be adversely affected.</w:t>
      </w:r>
    </w:p>
    <w:p>
      <w:pPr>
        <w:spacing w:after="0" w:line="64" w:lineRule="exact"/>
        <w:rPr>
          <w:rFonts w:ascii="Arial" w:cs="Arial" w:eastAsia="Arial" w:hAnsi="Arial"/>
          <w:sz w:val="20"/>
          <w:szCs w:val="20"/>
          <w:color w:val="231F20"/>
        </w:rPr>
      </w:pPr>
    </w:p>
    <w:p>
      <w:pPr>
        <w:ind w:left="980" w:hanging="490"/>
        <w:spacing w:after="0" w:line="276"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We have, at times, experienced difficulties recruiting and retaining skilled veterinarians due to shortages that could disrupt our business.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We face various risks as an e-commerce retailer.</w:t>
      </w:r>
    </w:p>
    <w:p>
      <w:pPr>
        <w:spacing w:after="0" w:line="133" w:lineRule="exact"/>
        <w:rPr>
          <w:rFonts w:ascii="Arial" w:cs="Arial" w:eastAsia="Arial" w:hAnsi="Arial"/>
          <w:sz w:val="20"/>
          <w:szCs w:val="20"/>
          <w:color w:val="231F20"/>
        </w:rPr>
      </w:pPr>
    </w:p>
    <w:p>
      <w:pPr>
        <w:ind w:left="980" w:right="200" w:hanging="490"/>
        <w:spacing w:after="0" w:line="276"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If we fail to generate or obtain sufficient capital to finance our growth strategies, we may be unable to sustain our growth and our business may be adversely affected.</w:t>
      </w:r>
    </w:p>
    <w:p>
      <w:pPr>
        <w:spacing w:after="0" w:line="64" w:lineRule="exact"/>
        <w:rPr>
          <w:rFonts w:ascii="Arial" w:cs="Arial" w:eastAsia="Arial" w:hAnsi="Arial"/>
          <w:sz w:val="20"/>
          <w:szCs w:val="20"/>
          <w:color w:val="231F20"/>
        </w:rPr>
      </w:pPr>
    </w:p>
    <w:p>
      <w:pPr>
        <w:ind w:left="980" w:right="560" w:hanging="490"/>
        <w:spacing w:after="0" w:line="258"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A disruption, malfunction, or increased costs in the operation, expansion, or replenishment of our distribution centers or our supply chain would affect our ability to deliver to our locations and e-commerce customers or increase our expenses, which could harm our sales and profitability.</w:t>
      </w:r>
    </w:p>
    <w:p>
      <w:pPr>
        <w:spacing w:after="0" w:line="81" w:lineRule="exact"/>
        <w:rPr>
          <w:rFonts w:ascii="Arial" w:cs="Arial" w:eastAsia="Arial" w:hAnsi="Arial"/>
          <w:sz w:val="20"/>
          <w:szCs w:val="20"/>
          <w:color w:val="231F20"/>
        </w:rPr>
      </w:pPr>
    </w:p>
    <w:p>
      <w:pPr>
        <w:ind w:left="980" w:right="380" w:hanging="490"/>
        <w:spacing w:after="0" w:line="269" w:lineRule="auto"/>
        <w:tabs>
          <w:tab w:leader="none" w:pos="980" w:val="left"/>
        </w:tabs>
        <w:numPr>
          <w:ilvl w:val="0"/>
          <w:numId w:val="8"/>
        </w:numPr>
        <w:rPr>
          <w:rFonts w:ascii="Arial" w:cs="Arial" w:eastAsia="Arial" w:hAnsi="Arial"/>
          <w:sz w:val="19"/>
          <w:szCs w:val="19"/>
          <w:color w:val="231F20"/>
        </w:rPr>
      </w:pPr>
      <w:r>
        <w:rPr>
          <w:rFonts w:ascii="Times New Roman" w:cs="Times New Roman" w:eastAsia="Times New Roman" w:hAnsi="Times New Roman"/>
          <w:sz w:val="19"/>
          <w:szCs w:val="19"/>
          <w:color w:val="231F20"/>
        </w:rPr>
        <w:t>We occasionally seek to grow our business through acquisitions of or investments in new or complementary businesses, products, or services, or through strategic ventures, and the failure to successfully identify these opportunities, manage and integrate these acquisitions, investments, or alliances, or to achieve an adequate return on these investments, could have an adverse effect on us.</w:t>
      </w:r>
    </w:p>
    <w:p>
      <w:pPr>
        <w:spacing w:after="0" w:line="73" w:lineRule="exact"/>
        <w:rPr>
          <w:rFonts w:ascii="Arial" w:cs="Arial" w:eastAsia="Arial" w:hAnsi="Arial"/>
          <w:sz w:val="19"/>
          <w:szCs w:val="19"/>
          <w:color w:val="231F20"/>
        </w:rPr>
      </w:pPr>
    </w:p>
    <w:p>
      <w:pPr>
        <w:ind w:left="980" w:right="100" w:hanging="490"/>
        <w:spacing w:after="0" w:line="276"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Negative publicity arising from claims that we do not properly care for animals we handle or sell could adversely affect how we are perceived by the public and reduce our sales and profitability.</w:t>
      </w:r>
    </w:p>
    <w:p>
      <w:pPr>
        <w:spacing w:after="0" w:line="64" w:lineRule="exact"/>
        <w:rPr>
          <w:rFonts w:ascii="Arial" w:cs="Arial" w:eastAsia="Arial" w:hAnsi="Arial"/>
          <w:sz w:val="20"/>
          <w:szCs w:val="20"/>
          <w:color w:val="231F20"/>
        </w:rPr>
      </w:pPr>
    </w:p>
    <w:p>
      <w:pPr>
        <w:ind w:left="980" w:right="700" w:hanging="490"/>
        <w:spacing w:after="0" w:line="276"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Our quarterly operating results may fluctuate due to the timing of expenses, new pet care center openings, pet care center closures, and other factors.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Pet consumables safety, quality, and health concerns could adversely affect our business.</w:t>
      </w:r>
    </w:p>
    <w:p>
      <w:pPr>
        <w:spacing w:after="0" w:line="133" w:lineRule="exact"/>
        <w:rPr>
          <w:rFonts w:ascii="Arial" w:cs="Arial" w:eastAsia="Arial" w:hAnsi="Arial"/>
          <w:sz w:val="20"/>
          <w:szCs w:val="20"/>
          <w:color w:val="231F20"/>
        </w:rPr>
      </w:pPr>
    </w:p>
    <w:p>
      <w:pPr>
        <w:ind w:left="980" w:right="120" w:hanging="490"/>
        <w:spacing w:after="0" w:line="276"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attract and retain quality employees and experienced management personnel could adversely affect our performance.</w:t>
      </w:r>
    </w:p>
    <w:p>
      <w:pPr>
        <w:spacing w:after="0" w:line="64" w:lineRule="exact"/>
        <w:rPr>
          <w:rFonts w:ascii="Arial" w:cs="Arial" w:eastAsia="Arial" w:hAnsi="Arial"/>
          <w:sz w:val="20"/>
          <w:szCs w:val="20"/>
          <w:color w:val="231F20"/>
        </w:rPr>
      </w:pPr>
    </w:p>
    <w:p>
      <w:pPr>
        <w:ind w:left="980" w:right="320" w:hanging="490"/>
        <w:spacing w:after="0" w:line="276" w:lineRule="auto"/>
        <w:tabs>
          <w:tab w:leader="none" w:pos="98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color w:val="231F20"/>
        </w:rPr>
        <w:t>Our results may be adversely affected by serious disruptions or catastrophic events, including public health issues, geopolitical events, and severe weather.</w:t>
      </w:r>
    </w:p>
    <w:p>
      <w:pPr>
        <w:sectPr>
          <w:pgSz w:w="11880" w:h="15480" w:orient="portrait"/>
          <w:cols w:equalWidth="0" w:num="1">
            <w:col w:w="9340"/>
          </w:cols>
          <w:pgMar w:left="1260" w:top="88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9340"/>
          </w:cols>
          <w:pgMar w:left="1260" w:top="880" w:right="128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i w:val="1"/>
          <w:iCs w:val="1"/>
          <w:color w:val="231F20"/>
        </w:rPr>
        <w:t>Risks Related to Legal and Regulatory Matters</w:t>
      </w:r>
    </w:p>
    <w:p>
      <w:pPr>
        <w:spacing w:after="0" w:line="101" w:lineRule="exact"/>
        <w:rPr>
          <w:sz w:val="20"/>
          <w:szCs w:val="20"/>
          <w:color w:val="auto"/>
        </w:rPr>
      </w:pPr>
    </w:p>
    <w:p>
      <w:pPr>
        <w:ind w:left="480" w:right="60"/>
        <w:spacing w:after="0" w:line="236" w:lineRule="auto"/>
        <w:rPr>
          <w:sz w:val="20"/>
          <w:szCs w:val="20"/>
          <w:color w:val="auto"/>
        </w:rPr>
      </w:pPr>
      <w:r>
        <w:rPr>
          <w:rFonts w:ascii="Times New Roman" w:cs="Times New Roman" w:eastAsia="Times New Roman" w:hAnsi="Times New Roman"/>
          <w:sz w:val="20"/>
          <w:szCs w:val="20"/>
          <w:color w:val="231F20"/>
        </w:rPr>
        <w:t>Failure to comply with governmental regulations or the expansion of existing or the enactment of new laws or regulations applicable to our veterinary services could adversely affect our business and our financial condition or lead to fines, litigation, or our inability to offer veterinary products or services in certain states.</w:t>
      </w:r>
    </w:p>
    <w:p>
      <w:pPr>
        <w:spacing w:after="0" w:line="76" w:lineRule="exact"/>
        <w:rPr>
          <w:sz w:val="20"/>
          <w:szCs w:val="20"/>
          <w:color w:val="auto"/>
        </w:rPr>
      </w:pPr>
    </w:p>
    <w:p>
      <w:pPr>
        <w:ind w:left="980" w:right="260" w:hanging="490"/>
        <w:spacing w:after="0" w:line="253" w:lineRule="auto"/>
        <w:tabs>
          <w:tab w:leader="none" w:pos="980" w:val="left"/>
        </w:tabs>
        <w:numPr>
          <w:ilvl w:val="0"/>
          <w:numId w:val="9"/>
        </w:numPr>
        <w:rPr>
          <w:rFonts w:ascii="Arial" w:cs="Arial" w:eastAsia="Arial" w:hAnsi="Arial"/>
          <w:sz w:val="19"/>
          <w:szCs w:val="19"/>
          <w:color w:val="231F20"/>
        </w:rPr>
      </w:pPr>
      <w:r>
        <w:rPr>
          <w:rFonts w:ascii="Times New Roman" w:cs="Times New Roman" w:eastAsia="Times New Roman" w:hAnsi="Times New Roman"/>
          <w:sz w:val="19"/>
          <w:szCs w:val="19"/>
          <w:color w:val="231F20"/>
        </w:rPr>
        <w:t>Our marketing programs, e-commerce initiatives, and use of personal information are governed by an evolving set of laws and enforcement trends, and changes in privacy laws or trends, or our failure to comply with existing or future laws, could substantially harm our business and results of operations.</w:t>
      </w:r>
    </w:p>
    <w:p>
      <w:pPr>
        <w:spacing w:after="0" w:line="63" w:lineRule="exact"/>
        <w:rPr>
          <w:rFonts w:ascii="Arial" w:cs="Arial" w:eastAsia="Arial" w:hAnsi="Arial"/>
          <w:sz w:val="19"/>
          <w:szCs w:val="19"/>
          <w:color w:val="231F20"/>
        </w:rPr>
      </w:pPr>
    </w:p>
    <w:p>
      <w:pPr>
        <w:ind w:left="980" w:right="380" w:hanging="490"/>
        <w:spacing w:after="0" w:line="236"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establish, maintain, protect, and enforce our intellectual property and proprietary rights or prevent third parties from making unauthorized use of our technology or our brand could harm our competitive position or require us to incur significant expenses to enforce our rights.</w:t>
      </w:r>
    </w:p>
    <w:p>
      <w:pPr>
        <w:spacing w:after="0" w:line="76" w:lineRule="exact"/>
        <w:rPr>
          <w:rFonts w:ascii="Arial" w:cs="Arial" w:eastAsia="Arial" w:hAnsi="Arial"/>
          <w:sz w:val="20"/>
          <w:szCs w:val="20"/>
          <w:color w:val="231F20"/>
        </w:rPr>
      </w:pPr>
    </w:p>
    <w:p>
      <w:pPr>
        <w:jc w:val="both"/>
        <w:ind w:left="980" w:right="60" w:hanging="490"/>
        <w:spacing w:after="0" w:line="236"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party to routine litigation arising in the ordinary course of business and may become involved in additional litigation, all of which requires time and attention from certain members of management and can result in significant legal expenses.</w:t>
      </w:r>
    </w:p>
    <w:p>
      <w:pPr>
        <w:spacing w:after="0" w:line="76" w:lineRule="exact"/>
        <w:rPr>
          <w:rFonts w:ascii="Arial" w:cs="Arial" w:eastAsia="Arial" w:hAnsi="Arial"/>
          <w:sz w:val="20"/>
          <w:szCs w:val="20"/>
          <w:color w:val="231F20"/>
        </w:rPr>
      </w:pPr>
    </w:p>
    <w:p>
      <w:pPr>
        <w:ind w:left="980" w:hanging="490"/>
        <w:spacing w:after="0"/>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subject to environmental, health, and safety laws and regulations that could result in costs to us.</w:t>
      </w:r>
    </w:p>
    <w:p>
      <w:pPr>
        <w:spacing w:after="0" w:line="110" w:lineRule="exact"/>
        <w:rPr>
          <w:rFonts w:ascii="Arial" w:cs="Arial" w:eastAsia="Arial" w:hAnsi="Arial"/>
          <w:sz w:val="20"/>
          <w:szCs w:val="20"/>
          <w:color w:val="231F20"/>
        </w:rPr>
      </w:pPr>
    </w:p>
    <w:p>
      <w:pPr>
        <w:ind w:left="980" w:right="160" w:hanging="490"/>
        <w:spacing w:after="0" w:line="236" w:lineRule="auto"/>
        <w:tabs>
          <w:tab w:leader="none" w:pos="98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fail to comply with various state or federal regulations covering the dispensing and/or administration of prescription pet medications, including controlled substances, through our veterinary services businesses, which may subject us to reprimands, sanctions, probations, fines, or suspensions.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Risks Related to Our Indebtedness</w:t>
      </w:r>
    </w:p>
    <w:p>
      <w:pPr>
        <w:spacing w:after="0" w:line="110" w:lineRule="exact"/>
        <w:rPr>
          <w:sz w:val="20"/>
          <w:szCs w:val="20"/>
          <w:color w:val="auto"/>
        </w:rPr>
      </w:pPr>
    </w:p>
    <w:p>
      <w:pPr>
        <w:ind w:left="980" w:right="320" w:hanging="490"/>
        <w:spacing w:after="0" w:line="254" w:lineRule="auto"/>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Our substantial indebtedness could adversely affect our cash flows and prevent us from fulfilling our obligations under existing debt agreements.</w:t>
      </w:r>
    </w:p>
    <w:p>
      <w:pPr>
        <w:spacing w:after="0" w:line="60" w:lineRule="exact"/>
        <w:rPr>
          <w:rFonts w:ascii="Arial" w:cs="Arial" w:eastAsia="Arial" w:hAnsi="Arial"/>
          <w:sz w:val="20"/>
          <w:szCs w:val="20"/>
          <w:color w:val="231F20"/>
        </w:rPr>
      </w:pPr>
    </w:p>
    <w:p>
      <w:pPr>
        <w:ind w:left="980" w:right="600" w:hanging="490"/>
        <w:spacing w:after="0" w:line="254" w:lineRule="auto"/>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The agreements governing our indebtedness include restrictive covenants that limit our operating flexibility, which could harm our long-term interests.</w:t>
      </w:r>
    </w:p>
    <w:p>
      <w:pPr>
        <w:spacing w:after="0" w:line="60" w:lineRule="exact"/>
        <w:rPr>
          <w:rFonts w:ascii="Arial" w:cs="Arial" w:eastAsia="Arial" w:hAnsi="Arial"/>
          <w:sz w:val="20"/>
          <w:szCs w:val="20"/>
          <w:color w:val="231F20"/>
        </w:rPr>
      </w:pPr>
    </w:p>
    <w:p>
      <w:pPr>
        <w:ind w:left="980" w:right="120" w:hanging="490"/>
        <w:spacing w:after="0" w:line="236" w:lineRule="auto"/>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Our failure to comply with the covenants contained in the Indenture, Term Loan Credit Agreement and ABL Credit Agreement, including as a result of events beyond our control, could result in an event of default that could cause repayment of our debt to be accelerated.</w:t>
      </w:r>
    </w:p>
    <w:p>
      <w:pPr>
        <w:spacing w:after="0" w:line="76" w:lineRule="exact"/>
        <w:rPr>
          <w:rFonts w:ascii="Arial" w:cs="Arial" w:eastAsia="Arial" w:hAnsi="Arial"/>
          <w:sz w:val="20"/>
          <w:szCs w:val="20"/>
          <w:color w:val="231F20"/>
        </w:rPr>
      </w:pPr>
    </w:p>
    <w:p>
      <w:pPr>
        <w:ind w:left="980" w:right="420" w:hanging="490"/>
        <w:spacing w:after="0" w:line="254" w:lineRule="auto"/>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The amount of borrowings permitted under the ABL Revolving Credit Facility may fluctuate significantly, which may adversely affect our liquidity, results of operations, and financial position.</w:t>
      </w:r>
    </w:p>
    <w:p>
      <w:pPr>
        <w:spacing w:after="0" w:line="60" w:lineRule="exact"/>
        <w:rPr>
          <w:rFonts w:ascii="Arial" w:cs="Arial" w:eastAsia="Arial" w:hAnsi="Arial"/>
          <w:sz w:val="20"/>
          <w:szCs w:val="20"/>
          <w:color w:val="231F20"/>
        </w:rPr>
      </w:pPr>
    </w:p>
    <w:p>
      <w:pPr>
        <w:ind w:left="980" w:right="400" w:hanging="490"/>
        <w:spacing w:after="0" w:line="254" w:lineRule="auto"/>
        <w:tabs>
          <w:tab w:leader="none" w:pos="98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color w:val="231F20"/>
        </w:rPr>
        <w:t>We will need to repay or refinance borrowings under the First Lien Term Loan and ABL Revolving Credit Facility prior to maturity of the Senior Secured Notes.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Risks Related to Our Class A Common Stock</w:t>
      </w:r>
    </w:p>
    <w:p>
      <w:pPr>
        <w:spacing w:after="0" w:line="110" w:lineRule="exact"/>
        <w:rPr>
          <w:sz w:val="20"/>
          <w:szCs w:val="20"/>
          <w:color w:val="auto"/>
        </w:rPr>
      </w:pPr>
    </w:p>
    <w:p>
      <w:pPr>
        <w:ind w:left="980" w:right="180" w:hanging="490"/>
        <w:spacing w:after="0" w:line="236" w:lineRule="auto"/>
        <w:tabs>
          <w:tab w:leader="none" w:pos="98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Our Sponsors have significant influence over us, including control over decisions that require the approval of stockholders, which could limit your ability to influence the outcome of matters submitted to stockholders for a vote.</w:t>
      </w:r>
    </w:p>
    <w:p>
      <w:pPr>
        <w:spacing w:after="0" w:line="76" w:lineRule="exact"/>
        <w:rPr>
          <w:rFonts w:ascii="Arial" w:cs="Arial" w:eastAsia="Arial" w:hAnsi="Arial"/>
          <w:sz w:val="20"/>
          <w:szCs w:val="20"/>
          <w:color w:val="231F20"/>
        </w:rPr>
      </w:pPr>
    </w:p>
    <w:p>
      <w:pPr>
        <w:ind w:left="980" w:right="40" w:hanging="490"/>
        <w:spacing w:after="0" w:line="231" w:lineRule="auto"/>
        <w:tabs>
          <w:tab w:leader="none" w:pos="98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a “controlled company” within the meaning of the Nasdaq rules and, as a result, qualify for, and rely on, exemptions from certain corporate governance requirements. Accordingly, the holders of our Class A common stock do not have the same protections as those afforded to stockholders of companies that are subject to such governance requirements.</w:t>
      </w:r>
    </w:p>
    <w:p>
      <w:pPr>
        <w:spacing w:after="0" w:line="76" w:lineRule="exact"/>
        <w:rPr>
          <w:rFonts w:ascii="Arial" w:cs="Arial" w:eastAsia="Arial" w:hAnsi="Arial"/>
          <w:sz w:val="20"/>
          <w:szCs w:val="20"/>
          <w:color w:val="231F20"/>
        </w:rPr>
      </w:pPr>
    </w:p>
    <w:p>
      <w:pPr>
        <w:ind w:left="980" w:right="60" w:hanging="490"/>
        <w:spacing w:after="0" w:line="254" w:lineRule="auto"/>
        <w:tabs>
          <w:tab w:leader="none" w:pos="98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a holding company with nominal net worth and will depend on dividends and distributions from our subsidiaries to pay any dividends.</w:t>
      </w:r>
    </w:p>
    <w:p>
      <w:pPr>
        <w:spacing w:after="0" w:line="60" w:lineRule="exact"/>
        <w:rPr>
          <w:rFonts w:ascii="Arial" w:cs="Arial" w:eastAsia="Arial" w:hAnsi="Arial"/>
          <w:sz w:val="20"/>
          <w:szCs w:val="20"/>
          <w:color w:val="231F20"/>
        </w:rPr>
      </w:pPr>
    </w:p>
    <w:p>
      <w:pPr>
        <w:ind w:left="980" w:right="620" w:hanging="490"/>
        <w:spacing w:after="0" w:line="254" w:lineRule="auto"/>
        <w:tabs>
          <w:tab w:leader="none" w:pos="980" w:val="left"/>
        </w:tabs>
        <w:numPr>
          <w:ilvl w:val="0"/>
          <w:numId w:val="11"/>
        </w:numPr>
        <w:rPr>
          <w:rFonts w:ascii="Arial" w:cs="Arial" w:eastAsia="Arial" w:hAnsi="Arial"/>
          <w:sz w:val="20"/>
          <w:szCs w:val="20"/>
          <w:color w:val="231F20"/>
        </w:rPr>
      </w:pPr>
      <w:r>
        <w:rPr>
          <w:rFonts w:ascii="Times New Roman" w:cs="Times New Roman" w:eastAsia="Times New Roman" w:hAnsi="Times New Roman"/>
          <w:sz w:val="20"/>
          <w:szCs w:val="20"/>
          <w:color w:val="231F20"/>
        </w:rPr>
        <w:t>A ratings downgrade or other negative action by a ratings organization could adversely affect the trading price of the shares of our Class A common stock.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General Risk Factors</w:t>
      </w:r>
    </w:p>
    <w:p>
      <w:pPr>
        <w:spacing w:after="0" w:line="110" w:lineRule="exact"/>
        <w:rPr>
          <w:sz w:val="20"/>
          <w:szCs w:val="20"/>
          <w:color w:val="auto"/>
        </w:rPr>
      </w:pPr>
    </w:p>
    <w:p>
      <w:pPr>
        <w:ind w:left="980" w:right="100" w:hanging="490"/>
        <w:spacing w:after="0" w:line="254"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A significant portion of our total outstanding shares may be sold into the market, which could cause the market price of our Class A common stock to drop significantly, even if our business is doing well.</w:t>
      </w:r>
    </w:p>
    <w:p>
      <w:pPr>
        <w:spacing w:after="0" w:line="80" w:lineRule="exact"/>
        <w:rPr>
          <w:rFonts w:ascii="Arial" w:cs="Arial" w:eastAsia="Arial" w:hAnsi="Arial"/>
          <w:sz w:val="20"/>
          <w:szCs w:val="20"/>
          <w:color w:val="231F20"/>
        </w:rPr>
      </w:pPr>
    </w:p>
    <w:p>
      <w:pPr>
        <w:ind w:left="980" w:hanging="490"/>
        <w:spacing w:after="0" w:line="258" w:lineRule="auto"/>
        <w:tabs>
          <w:tab w:leader="none" w:pos="98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If our operating and financial performance in any given period does not meet the guidance that we have provided to the public or the expectations of our investors and analysts, our Class A common stock price may decline.</w:t>
      </w:r>
    </w:p>
    <w:p>
      <w:pPr>
        <w:sectPr>
          <w:pgSz w:w="11880" w:h="15480" w:orient="portrait"/>
          <w:cols w:equalWidth="0" w:num="1">
            <w:col w:w="9360"/>
          </w:cols>
          <w:pgMar w:left="1260" w:top="880" w:right="126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9360"/>
          </w:cols>
          <w:pgMar w:left="1260" w:top="880" w:right="1260" w:bottom="0" w:gutter="0" w:footer="0" w:header="0"/>
          <w:type w:val="continuous"/>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Business</w:t>
      </w:r>
      <w:r>
        <w:rPr>
          <w:rFonts w:ascii="Times New Roman" w:cs="Times New Roman" w:eastAsia="Times New Roman" w:hAnsi="Times New Roman"/>
          <w:sz w:val="20"/>
          <w:szCs w:val="20"/>
          <w:color w:val="231F20"/>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Company</w:t>
      </w:r>
    </w:p>
    <w:p>
      <w:pPr>
        <w:spacing w:after="0" w:line="124" w:lineRule="exact"/>
        <w:rPr>
          <w:sz w:val="20"/>
          <w:szCs w:val="20"/>
          <w:color w:val="auto"/>
        </w:rPr>
      </w:pPr>
    </w:p>
    <w:p>
      <w:pPr>
        <w:jc w:val="both"/>
        <w:ind w:right="100" w:firstLine="490"/>
        <w:spacing w:after="0" w:line="249" w:lineRule="auto"/>
        <w:rPr>
          <w:sz w:val="20"/>
          <w:szCs w:val="20"/>
          <w:color w:val="auto"/>
        </w:rPr>
      </w:pPr>
      <w:r>
        <w:rPr>
          <w:rFonts w:ascii="Times New Roman" w:cs="Times New Roman" w:eastAsia="Times New Roman" w:hAnsi="Times New Roman"/>
          <w:sz w:val="20"/>
          <w:szCs w:val="20"/>
          <w:color w:val="231F20"/>
        </w:rPr>
        <w:t>Founded in 1965, Petco is a leading pet specialty retailer focused on improving the lives of pets, pet parents, and our own Petco partners. Building on more than 60 years of service to pets and the people who love and care for them, we serve our customers as a fully-integrated, omnichannel provider of pet products, services, and solutions.</w:t>
      </w:r>
    </w:p>
    <w:p>
      <w:pPr>
        <w:spacing w:after="0" w:line="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231F20"/>
        </w:rPr>
        <w:t>Our ecosystem provides our customers with a comprehensive offering of products and services to fulfill all their pets’ needs through our approximately 1,400 pet care centers across the United States and Puerto Rico, our digital channel, and our flexible fulfillment options. Additionally, we operate approximately 150 pet care centers in Mexico and 2 in Chile through a joint venture.</w:t>
      </w:r>
    </w:p>
    <w:p>
      <w:pPr>
        <w:spacing w:after="0" w:line="84"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Our product offering leverages a broad assortment of national brands, owned brands, and exclusive merchandise, providing customers with a wide variety of nutritional options at a range of price points. Our product offering is complemented by a wide variety of pet care supplies and companion animals. In addition, our owned product assortment, including WholeHearted, Reddy, So Phresh, and Well &amp; Good, serves as a significant driver of sales, customer loyalty, and repeat purchasing and was a meaningful contributor to enterprise sales in fiscal 2025.</w:t>
      </w:r>
    </w:p>
    <w:p>
      <w:pPr>
        <w:spacing w:after="0" w:line="77" w:lineRule="exact"/>
        <w:rPr>
          <w:sz w:val="20"/>
          <w:szCs w:val="20"/>
          <w:color w:val="auto"/>
        </w:rPr>
      </w:pPr>
    </w:p>
    <w:p>
      <w:pPr>
        <w:ind w:right="280" w:firstLine="490"/>
        <w:spacing w:after="0" w:line="246" w:lineRule="auto"/>
        <w:rPr>
          <w:sz w:val="20"/>
          <w:szCs w:val="20"/>
          <w:color w:val="auto"/>
        </w:rPr>
      </w:pPr>
      <w:r>
        <w:rPr>
          <w:rFonts w:ascii="Times New Roman" w:cs="Times New Roman" w:eastAsia="Times New Roman" w:hAnsi="Times New Roman"/>
          <w:sz w:val="20"/>
          <w:szCs w:val="20"/>
          <w:color w:val="231F20"/>
        </w:rPr>
        <w:t>We integrate our product offering with our services business, comprised of veterinary care, grooming, and training, with a focus on treating the whole pet, including their physical, mental, and social well- being. As of January 31, 2026, we had approximately 300 full service veterinary hospitals in our network and operated approximately 1,600 Vetco clinics on a weekly basis. We are able to benefit from certain structural advantages compared to stand-alone veterinary care providers by integrating our hospitals into existing pet care centers. This provides additional basket opportunities and allows for, among other things, data sharing advantages across our ecosystem.</w:t>
      </w:r>
    </w:p>
    <w:p>
      <w:pPr>
        <w:spacing w:after="0" w:line="181" w:lineRule="exact"/>
        <w:rPr>
          <w:sz w:val="20"/>
          <w:szCs w:val="20"/>
          <w:color w:val="auto"/>
        </w:rPr>
      </w:pPr>
    </w:p>
    <w:p>
      <w:pPr>
        <w:jc w:val="both"/>
        <w:ind w:right="300" w:firstLine="490"/>
        <w:spacing w:after="0" w:line="236" w:lineRule="auto"/>
        <w:rPr>
          <w:sz w:val="20"/>
          <w:szCs w:val="20"/>
          <w:color w:val="auto"/>
        </w:rPr>
      </w:pPr>
      <w:r>
        <w:rPr>
          <w:rFonts w:ascii="Times New Roman" w:cs="Times New Roman" w:eastAsia="Times New Roman" w:hAnsi="Times New Roman"/>
          <w:sz w:val="20"/>
          <w:szCs w:val="20"/>
          <w:color w:val="231F20"/>
        </w:rPr>
        <w:t>Our strategy is powered by a multi-channel platform. Our more than 26,000 passionate and knowledgeable store employees, together with our full suite of wholly owned services, enable us to create a fun, convenient, and unique experience for our customers and their pets.</w:t>
      </w:r>
    </w:p>
    <w:p>
      <w:pPr>
        <w:spacing w:after="0" w:line="183" w:lineRule="exact"/>
        <w:rPr>
          <w:sz w:val="20"/>
          <w:szCs w:val="20"/>
          <w:color w:val="auto"/>
        </w:rPr>
      </w:pPr>
    </w:p>
    <w:p>
      <w:pPr>
        <w:ind w:firstLine="490"/>
        <w:spacing w:after="0" w:line="223" w:lineRule="auto"/>
        <w:rPr>
          <w:sz w:val="20"/>
          <w:szCs w:val="20"/>
          <w:color w:val="auto"/>
        </w:rPr>
      </w:pPr>
      <w:r>
        <w:rPr>
          <w:rFonts w:ascii="Times New Roman" w:cs="Times New Roman" w:eastAsia="Times New Roman" w:hAnsi="Times New Roman"/>
          <w:sz w:val="20"/>
          <w:szCs w:val="20"/>
          <w:color w:val="231F20"/>
        </w:rPr>
        <w:t>Layered onto our in-store and services offerings, we are focused on continually improving both our digital capabilities as well as our membership offering and creating a digital-to-store experience designed to minimize friction for our customers. Petco.com, our e-Commerce site, and the Petco app, our personalized mobile app, together serve as hubs for pet parents to book appointments and manage all of their pets’ needs, while enabling them to shop wherever, whenever, and however they want. With many of our customers shopping both in-store and online, we are well positioned to serve pet parents wherever they are through our interconnected ecosystem, where we offer the convenience of repeat delivery, buy online and pickup in store, curbside pick-up, same day delivery, and ship from store, thus continuing to strengthen our position as the place “Where the Pets Go.”</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Industry Dynamics</w:t>
      </w:r>
    </w:p>
    <w:p>
      <w:pPr>
        <w:spacing w:after="0" w:line="101" w:lineRule="exact"/>
        <w:rPr>
          <w:sz w:val="20"/>
          <w:szCs w:val="20"/>
          <w:color w:val="auto"/>
        </w:rPr>
      </w:pPr>
    </w:p>
    <w:p>
      <w:pPr>
        <w:ind w:right="100" w:firstLine="490"/>
        <w:spacing w:after="0" w:line="228" w:lineRule="auto"/>
        <w:rPr>
          <w:sz w:val="20"/>
          <w:szCs w:val="20"/>
          <w:color w:val="auto"/>
        </w:rPr>
      </w:pPr>
      <w:r>
        <w:rPr>
          <w:rFonts w:ascii="Times New Roman" w:cs="Times New Roman" w:eastAsia="Times New Roman" w:hAnsi="Times New Roman"/>
          <w:sz w:val="20"/>
          <w:szCs w:val="20"/>
          <w:color w:val="231F20"/>
        </w:rPr>
        <w:t>The U.S. pet care industry is large, serving millions of households with pets, and has exhibited steady growth driven by an increase in the pet population and ongoing trends in pet humanization and premiumization. Due to the essential, repeat nature of pet products and services, the industry has demonstrated resilience across various economic cycles. However, in recent years we have observed increased competition and softening discretionary spending with us, creating a challenging operating environment.</w:t>
      </w:r>
    </w:p>
    <w:p>
      <w:pPr>
        <w:spacing w:after="0" w:line="321" w:lineRule="exact"/>
        <w:rPr>
          <w:sz w:val="20"/>
          <w:szCs w:val="20"/>
          <w:color w:val="auto"/>
        </w:rPr>
      </w:pPr>
    </w:p>
    <w:p>
      <w:pPr>
        <w:ind w:right="300" w:firstLine="720"/>
        <w:spacing w:after="0" w:line="247" w:lineRule="auto"/>
        <w:rPr>
          <w:sz w:val="20"/>
          <w:szCs w:val="20"/>
          <w:color w:val="auto"/>
        </w:rPr>
      </w:pPr>
      <w:r>
        <w:rPr>
          <w:rFonts w:ascii="Times New Roman" w:cs="Times New Roman" w:eastAsia="Times New Roman" w:hAnsi="Times New Roman"/>
          <w:sz w:val="20"/>
          <w:szCs w:val="20"/>
          <w:color w:val="231F20"/>
        </w:rPr>
        <w:t>In fiscal 2025, with new leadership in place, we embarked on a purposeful strategy to strengthen our fundamentals with a specific focus on driving improved profitability and cash flow. This strategy is anchored on four key pillars: providing a trusted store experience for our customers; offering new, trend-driven products that complement our evergreen assortment; scaling our unique and competitively differentiated services offering; and powering it all with an integrated omni-channel experience driven by a revamped membership offering, repeat delivery, and seamless digital-to-store engagement.</w:t>
      </w:r>
    </w:p>
    <w:p>
      <w:pPr>
        <w:spacing w:after="0" w:line="320"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231F20"/>
        </w:rPr>
        <w:t>Our execution in fiscal 2025 brought our four strategic pillars to life. We drove differentiated growth in our merchandise offering by expanding our portfolio of owned brands and exclusive products, helping to position Petco as the go-to destination for premium and innovative pet nutrition and supplies. We continued to scale our vet services, opening new, state -of-the-art veterinary hospitals in our pet care centers and expanding our Vetco clinics, making essential veterinary care more accessible and affordable, while also enhancing our grooming offerings,</w:t>
      </w:r>
    </w:p>
    <w:p>
      <w:pPr>
        <w:sectPr>
          <w:pgSz w:w="11880" w:h="15480" w:orient="portrait"/>
          <w:cols w:equalWidth="0" w:num="1">
            <w:col w:w="9340"/>
          </w:cols>
          <w:pgMar w:left="1260" w:top="876" w:right="1280" w:bottom="0"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9340"/>
          </w:cols>
          <w:pgMar w:left="1260" w:top="876" w:right="1280" w:bottom="0" w:gutter="0" w:footer="0" w:header="0"/>
          <w:type w:val="continuous"/>
        </w:sectPr>
      </w:pPr>
    </w:p>
    <w:bookmarkStart w:id="16" w:name="page17"/>
    <w:bookmarkEnd w:id="16"/>
    <w:p>
      <w:pPr>
        <w:ind w:right="780"/>
        <w:spacing w:after="0" w:line="258" w:lineRule="auto"/>
        <w:rPr>
          <w:sz w:val="20"/>
          <w:szCs w:val="20"/>
          <w:color w:val="auto"/>
        </w:rPr>
      </w:pPr>
      <w:r>
        <w:rPr>
          <w:rFonts w:ascii="Times New Roman" w:cs="Times New Roman" w:eastAsia="Times New Roman" w:hAnsi="Times New Roman"/>
          <w:sz w:val="20"/>
          <w:szCs w:val="20"/>
          <w:color w:val="231F20"/>
        </w:rPr>
        <w:t>creating indispensable, recurring relationships with pet parents. Finally, we powered these initiatives with our differentiated digital engine, making significant progress in improving our mobile app and e-commerce platforms in an effort to deliver a seamless, integrated omnichannel experience.</w:t>
      </w:r>
    </w:p>
    <w:p>
      <w:pPr>
        <w:spacing w:after="0" w:line="30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231F20"/>
        </w:rPr>
        <w:t>This disciplined execution of our strategy resulted in an improved financial profile in fiscal 2025, as demonstrated by our strong year-over-year growth in net income and Adjusted EBITDA, as well as significant operating income and free cash flow generation year-over-year. We believe the significant progress that we made in fiscal 2025 demonstrates our ability to execute on our priorities, creating a strong foundation for future success. As we look ahead to fiscal 2026, our focus is to build on this momentum in returning Petco to sustainable, profitable growth. We plan to continue to execute against our four pillars, with a commitment to operational excellence and providing the comprehensive care that pet parents expect from us. By leveraging our unique, integrated model of merchandise, services, and veterinary care, we are confident in our ability to capture the significant opportunities that lie ahead and deliver sustainable, long-term value for our shareholders.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Marketing and Advertising</w:t>
      </w:r>
    </w:p>
    <w:p>
      <w:pPr>
        <w:spacing w:after="0" w:line="124"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231F20"/>
        </w:rPr>
        <w:t>In fiscal 2025, we continued to evolve our marketing and media strategy, with a heightened focus on efficiency, return on investments, and disciplined promotional activity. We grew our in-house retail media network to enable advertising activities across paid and owned channels, and enhanced our search engine optimization capabilities through the launch of our in-house content hub. We also refined our pricing and promotional strategies and optimized overall marketing spend and channel mix to prioritize high-margin customer engagement, by leveraging data-driven insights. Our marketing efforts capitalize our integrated ecosystem and competitive positioning to drive customer acquisition, monetization, and retention while strengthening brand resonance and customer experience through targeted campaigns and in-store engagement initiatives.</w:t>
      </w:r>
    </w:p>
    <w:p>
      <w:pPr>
        <w:spacing w:after="0" w:line="8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In fiscal 2026, we plan to further integrate and share data between our services business and the rest of our stores to enable improved customer recommendations and marketing effectiveness. This includes continued investment in data-driven personalization, loyalty analytics, and marketing-mix insights that are designed to improve campaign effectiveness and long-term customer value. We expect these capabilities to support our sustainable, profitability-focused growth.</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Human Capital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Partners</w:t>
      </w:r>
    </w:p>
    <w:p>
      <w:pPr>
        <w:spacing w:after="0" w:line="120" w:lineRule="exact"/>
        <w:rPr>
          <w:sz w:val="20"/>
          <w:szCs w:val="20"/>
          <w:color w:val="auto"/>
        </w:rPr>
      </w:pPr>
    </w:p>
    <w:p>
      <w:pPr>
        <w:ind w:right="80" w:firstLine="449"/>
        <w:spacing w:after="0" w:line="244" w:lineRule="auto"/>
        <w:rPr>
          <w:sz w:val="20"/>
          <w:szCs w:val="20"/>
          <w:color w:val="auto"/>
        </w:rPr>
      </w:pPr>
      <w:r>
        <w:rPr>
          <w:rFonts w:ascii="Times New Roman" w:cs="Times New Roman" w:eastAsia="Times New Roman" w:hAnsi="Times New Roman"/>
          <w:sz w:val="20"/>
          <w:szCs w:val="20"/>
          <w:color w:val="231F20"/>
        </w:rPr>
        <w:t>Our employees, who we call Petco partners, are our most significant asset, critical to the delivery of our transformation and our continued progress. As of January 31, 2026, we had over 29,000 total partners. Our over 26,000 pet care center partners offer a level of customer engagement and content that is differentiated in retail and grounded in a true passion for pets. Our partners are primarily employed on an at-will basis and are compensated through base salary and incentive programs. We strive for our partners to grow and develop in their careers, and offer competitive compensation and benefits programs, incentive compensation, and a range of health and wellness offerings. Though we have encountered a small number of union campaigns, none have been successful to date and, accordingly, none of our partners are represented by labor unions or covered by collective bargaining agreements. We consider our relationship with our partners to be good.</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Culture</w:t>
      </w:r>
    </w:p>
    <w:p>
      <w:pPr>
        <w:spacing w:after="0" w:line="240" w:lineRule="exact"/>
        <w:rPr>
          <w:sz w:val="20"/>
          <w:szCs w:val="20"/>
          <w:color w:val="auto"/>
        </w:rPr>
      </w:pPr>
    </w:p>
    <w:p>
      <w:pPr>
        <w:ind w:firstLine="450"/>
        <w:spacing w:after="0" w:line="249" w:lineRule="auto"/>
        <w:rPr>
          <w:sz w:val="20"/>
          <w:szCs w:val="20"/>
          <w:color w:val="auto"/>
        </w:rPr>
      </w:pPr>
      <w:r>
        <w:rPr>
          <w:rFonts w:ascii="Times New Roman" w:cs="Times New Roman" w:eastAsia="Times New Roman" w:hAnsi="Times New Roman"/>
          <w:sz w:val="20"/>
          <w:szCs w:val="20"/>
          <w:color w:val="231F20"/>
        </w:rPr>
        <w:t>We strive to create an environment that values diverse backgrounds and identities. We believe that an inclusive workplace can unlock diversity of perspectives which in turn can enable critical innovation, creative problem solving and high engagement that is key to our mission of improving the lives of pets, pet parents, and our Petco partners. Embedded in our values is the fundamental belief that we are all accepted as we are, and this sentiment is reinforced in teams across our company.</w:t>
      </w:r>
    </w:p>
    <w:p>
      <w:pPr>
        <w:spacing w:after="0" w:line="187" w:lineRule="exact"/>
        <w:rPr>
          <w:sz w:val="20"/>
          <w:szCs w:val="20"/>
          <w:color w:val="auto"/>
        </w:rPr>
      </w:pPr>
    </w:p>
    <w:p>
      <w:pPr>
        <w:ind w:right="80" w:firstLine="450"/>
        <w:spacing w:after="0" w:line="249" w:lineRule="auto"/>
        <w:rPr>
          <w:sz w:val="20"/>
          <w:szCs w:val="20"/>
          <w:color w:val="auto"/>
        </w:rPr>
      </w:pPr>
      <w:r>
        <w:rPr>
          <w:rFonts w:ascii="Times New Roman" w:cs="Times New Roman" w:eastAsia="Times New Roman" w:hAnsi="Times New Roman"/>
          <w:sz w:val="20"/>
          <w:szCs w:val="20"/>
          <w:color w:val="231F20"/>
        </w:rPr>
        <w:t>To better serve our diverse customers across our more than 1,500 pet care centers across the United States, Mexico, and Puerto Rico, we are intentional about bringing the skillsets and experiences that help us meet the needs of all pets and pet parents. From attracting bilingual talent that help us serve multicultural market segments to finding experiences that help us innovate in a competitive and changing industry, we continue to evaluate and enhance our recruiting and development strategies to find and build the best talent possible. As the need for pet care</w:t>
      </w:r>
    </w:p>
    <w:p>
      <w:pPr>
        <w:sectPr>
          <w:pgSz w:w="11880" w:h="15480" w:orient="portrait"/>
          <w:cols w:equalWidth="0" w:num="1">
            <w:col w:w="9360"/>
          </w:cols>
          <w:pgMar w:left="1260" w:top="880" w:right="1260" w:bottom="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9360"/>
          </w:cols>
          <w:pgMar w:left="1260" w:top="880" w:right="1260" w:bottom="0" w:gutter="0" w:footer="0" w:header="0"/>
          <w:type w:val="continuous"/>
        </w:sectPr>
      </w:pPr>
    </w:p>
    <w:bookmarkStart w:id="17" w:name="page18"/>
    <w:bookmarkEnd w:id="17"/>
    <w:p>
      <w:pPr>
        <w:ind w:right="220"/>
        <w:spacing w:after="0" w:line="277" w:lineRule="auto"/>
        <w:rPr>
          <w:sz w:val="20"/>
          <w:szCs w:val="20"/>
          <w:color w:val="auto"/>
        </w:rPr>
      </w:pPr>
      <w:r>
        <w:rPr>
          <w:rFonts w:ascii="Times New Roman" w:cs="Times New Roman" w:eastAsia="Times New Roman" w:hAnsi="Times New Roman"/>
          <w:sz w:val="20"/>
          <w:szCs w:val="20"/>
          <w:color w:val="231F20"/>
        </w:rPr>
        <w:t>grows, we also collaborate with community and industry associations to inspire the next generation of doctors and expand the field of veterinarian medicine.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Partner Communities</w:t>
      </w:r>
    </w:p>
    <w:p>
      <w:pPr>
        <w:spacing w:after="0" w:line="230" w:lineRule="exact"/>
        <w:rPr>
          <w:sz w:val="20"/>
          <w:szCs w:val="20"/>
          <w:color w:val="auto"/>
        </w:rPr>
      </w:pPr>
    </w:p>
    <w:p>
      <w:pPr>
        <w:ind w:right="200" w:firstLine="449"/>
        <w:spacing w:after="0" w:line="249" w:lineRule="auto"/>
        <w:rPr>
          <w:sz w:val="20"/>
          <w:szCs w:val="20"/>
          <w:color w:val="auto"/>
        </w:rPr>
      </w:pPr>
      <w:r>
        <w:rPr>
          <w:rFonts w:ascii="Times New Roman" w:cs="Times New Roman" w:eastAsia="Times New Roman" w:hAnsi="Times New Roman"/>
          <w:sz w:val="20"/>
          <w:szCs w:val="20"/>
          <w:color w:val="231F20"/>
        </w:rPr>
        <w:t>We believe that building and supporting connections between our partners creates a more fulfilling and enjoyable workplace experience and enables us to tap into the diverse expertise of our partners. Petco’s seven Partner Resource Groups are partner-led and organized, and lead this effort by fostering community and a sense of belonging by facilitating engagement activities to increase cross-cultural awareness, educate partners on issues involving a variety of topics, and help our business better reach our diverse customer base.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Compensation and Benefits</w:t>
      </w:r>
    </w:p>
    <w:p>
      <w:pPr>
        <w:spacing w:after="0" w:line="97" w:lineRule="exact"/>
        <w:rPr>
          <w:sz w:val="20"/>
          <w:szCs w:val="20"/>
          <w:color w:val="auto"/>
        </w:rPr>
      </w:pPr>
    </w:p>
    <w:p>
      <w:pPr>
        <w:ind w:right="160" w:firstLine="450"/>
        <w:spacing w:after="0" w:line="228" w:lineRule="auto"/>
        <w:rPr>
          <w:sz w:val="20"/>
          <w:szCs w:val="20"/>
          <w:color w:val="auto"/>
        </w:rPr>
      </w:pPr>
      <w:r>
        <w:rPr>
          <w:rFonts w:ascii="Times New Roman" w:cs="Times New Roman" w:eastAsia="Times New Roman" w:hAnsi="Times New Roman"/>
          <w:sz w:val="20"/>
          <w:szCs w:val="20"/>
          <w:color w:val="231F20"/>
        </w:rPr>
        <w:t>We provide competitive compensation and benefits programs to help meet the needs of our partners and their families. In addition to base cash compensation, we offer our partners a mix of annual bonuses, equity awards, various incentive plans, an Employee Stock Purchase Plan, a 401(k) Plan, healthcare and insurance benefits, health savings and flexible spending accounts, paid time off, and family leave. In addition, we offer a range of webinars, trainings, and subscriptions to support our partners’ total wellbeing.</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Talent Development</w:t>
      </w:r>
    </w:p>
    <w:p>
      <w:pPr>
        <w:spacing w:after="0" w:line="97" w:lineRule="exact"/>
        <w:rPr>
          <w:sz w:val="20"/>
          <w:szCs w:val="20"/>
          <w:color w:val="auto"/>
        </w:rPr>
      </w:pPr>
    </w:p>
    <w:p>
      <w:pPr>
        <w:ind w:right="40" w:firstLine="450"/>
        <w:spacing w:after="0" w:line="226" w:lineRule="auto"/>
        <w:rPr>
          <w:sz w:val="20"/>
          <w:szCs w:val="20"/>
          <w:color w:val="auto"/>
        </w:rPr>
      </w:pPr>
      <w:r>
        <w:rPr>
          <w:rFonts w:ascii="Times New Roman" w:cs="Times New Roman" w:eastAsia="Times New Roman" w:hAnsi="Times New Roman"/>
          <w:sz w:val="20"/>
          <w:szCs w:val="20"/>
          <w:color w:val="231F20"/>
        </w:rPr>
        <w:t>We invest significant resources to attract, develop, and retain top talent. In recent years, we have introduced foundational leadership development training for all new General Managers and above, provided comprehensive pet health and wellness certifications in all pet care centers, and continuously develop our partners’ customer engagement skills. In fiscal 2025, we proudly provided over 300,000 hours of training to our pet care center partners. In addition, over 40% of open Store General Manager and District Manager positions were filled by internal candidates, either through lateral moves or promotions.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Distribution</w:t>
      </w:r>
    </w:p>
    <w:p>
      <w:pPr>
        <w:spacing w:after="0" w:line="124" w:lineRule="exact"/>
        <w:rPr>
          <w:sz w:val="20"/>
          <w:szCs w:val="20"/>
          <w:color w:val="auto"/>
        </w:rPr>
      </w:pPr>
    </w:p>
    <w:p>
      <w:pPr>
        <w:jc w:val="both"/>
        <w:ind w:right="280" w:firstLine="490"/>
        <w:spacing w:after="0" w:line="258" w:lineRule="auto"/>
        <w:rPr>
          <w:sz w:val="20"/>
          <w:szCs w:val="20"/>
          <w:color w:val="auto"/>
        </w:rPr>
      </w:pPr>
      <w:r>
        <w:rPr>
          <w:rFonts w:ascii="Times New Roman" w:cs="Times New Roman" w:eastAsia="Times New Roman" w:hAnsi="Times New Roman"/>
          <w:sz w:val="20"/>
          <w:szCs w:val="20"/>
          <w:color w:val="231F20"/>
        </w:rPr>
        <w:t>We currently have seven primary and two regional distribution centers in our network, which are located in various parts of the United States, that handle almost all distribution for our company. In addition, our ship-from-store, same day delivery, BOPUS, and curbside programs enhance our distribution networks.</w:t>
      </w:r>
    </w:p>
    <w:p>
      <w:pPr>
        <w:spacing w:after="0" w:line="18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The majority of relationships we have with third-party domestic transportation and logistics providers are governed by non-exclusive agreements that do not obligate us to minimum volume or fees, and such agreements may generally be terminated by either party on 45 to 60 days’ prior written notice. However, the Company has agreements with three significant domestic transportation and logistics providers that have certain minimum volume requirements and/or cannot be terminated early without penalty.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Vendor Arrangements</w:t>
      </w:r>
    </w:p>
    <w:p>
      <w:pPr>
        <w:spacing w:after="0" w:line="12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As of the end of fiscal 2025, we had approximately 680 active merchandise vendors. Our top 10 vendors represented approximately 40% of our annual sales, and no single vendor accounted for more than 10% of our sales. In addition, we primarily sell the products we carry directly to consumers and purchase our products predominantly from our direct vendors rather than through third-party distributors. As such, we do not materially rely on third-party distributors to conduct our overall business. Our policy is to onboard our vendors using a standardized process to confirm their adherence to our applicable standards, policies, and procedures, including those relating to legal compliance, standard payment terms, and product quality. These relationships are typically governed by our standard vendor terms and conditions, under which we submit purchase orders to our vendors specifying the types, quantities, and agreed prices for merchandise that we intend to purchase from them. These agreements do not typically have minimum order requirements or exclusivity obligations for either party. Our terms and conditions do not have a set term, but instead allow us to terminate the relationship for convenience at any time upon written notice to the vendor. Our vendors generally may terminate the relationship on 90-days’ written notice but are obligated to fulfill or perform any purchase order accepted prior to such notice.</w:t>
      </w:r>
    </w:p>
    <w:p>
      <w:pPr>
        <w:sectPr>
          <w:pgSz w:w="11880" w:h="15480" w:orient="portrait"/>
          <w:cols w:equalWidth="0" w:num="1">
            <w:col w:w="9360"/>
          </w:cols>
          <w:pgMar w:left="1260" w:top="88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9360"/>
          </w:cols>
          <w:pgMar w:left="1260" w:top="880" w:right="126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231F20"/>
        </w:rPr>
        <w:t>Our Trademarks and Other Intellectual Property</w:t>
      </w:r>
    </w:p>
    <w:p>
      <w:pPr>
        <w:spacing w:after="0" w:line="124"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231F20"/>
        </w:rPr>
        <w:t>We believe that our rights in our intellectual property, including trademarks and domain names, as well as contractual provisions and restrictions on access to our proprietary technology, are important to our operations and marketing efforts to develop brand recognition and differentiate our brand from our competitors. We own a number of trademarks that have been registered, or for which registration applications are pending, in the United States and certain foreign jurisdictions. These trademarks include Bond &amp; Co., EveryYay, Good 2 Go, Good Lovin’, Imagitarium, Leaps &amp; Bounds, Petco, Petco Love, Petco Park, Reddy, Ruff &amp; Mews, So Phresh, Vetco, Well &amp; Good, Where the Pets Go, WholeHearted, You &amp; Me, Youly, Vital Care Core, and Vital Care Premier. The current registrations of these trademarks are effective for varying periods of time and may be renewed periodically, provided that we, as the registered owner, or our licensees where applicable, comply with all applicable renewal requirements including, where necessary, the continued use of the trademarks in connection with similar goods. We expect to pursue additional trademark registrations to the extent we believe they would be beneficial and cost-effective.</w:t>
      </w:r>
    </w:p>
    <w:p>
      <w:pPr>
        <w:spacing w:after="0" w:line="206"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In addition to trademark protection, we own numerous domain names, including petco.com. We also enter into, and rely on, confidentiality and proprietary rights agreements with our employees, consultants, contractors, and business partners to protect our trade secrets, proprietary technology, and other confidential information. We further control the use of our proprietary technology and intellectual property through provisions in both our customer terms of use on our website and in our vendor terms and conditions.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Government Regulation</w:t>
      </w:r>
    </w:p>
    <w:p>
      <w:pPr>
        <w:spacing w:after="0" w:line="12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We are subject to a broad range of federal, state, local, and foreign laws and regulations intended to protect public health, animal welfare, natural resources, and the environment. Our operations, including our owned brand manufacturing outsourcing partners, are subject to regulation by the Occupational Safety and Health Administration (“OSHA”), the U.S. Food and Drug Administration (the “FDA”), the U.S. Department of Agriculture (the “USDA”), the Drug Enforcement Administration (the “DEA”), and by various other federal, state, local, and foreign authorities regarding the sale, processing, packaging, storage, distribution, advertising, labeling, and import of our products, including food safety standards. For more information, please read “Risk Factors—Risks Related to Legal and Regulatory Matters—Our operations are subject to extensive governmental regulation, and we may incur material liabilities under, or costs in order to comply with, existing or future laws and regulations. Our failure to comply with such laws and regulations may result in enforcements, recalls, and other adverse actions that could disrupt our operations and adversely affect our financial results.”</w:t>
      </w:r>
    </w:p>
    <w:p>
      <w:pPr>
        <w:spacing w:after="0" w:line="209"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The FDA regulates animal feed, including pet food, under the Federal Food, Drug, and Cosmetic Act, (the “FFDCA”), and its implementing regulations. Although pet foods are not required to obtain premarket approval from the FDA, the FFDCA requires that all animal foods are safe for consumption, produced under sanitary conditions, contain no harmful substances, and are truthfully labeled. Most states also require that pet foods distributed in the state be registered or licensed with the appropriate state regulatory agency. In addition, most facilities that manufacture, process, pack, or hold foods, including pet foods, must register with the FDA and renew their registration every two years, and are subject to periodic FDA inspection. This includes most foreign, as well as domestic facilities. Registration must occur before the facility begins its pet food manufacturing, processing, packing, or holding operations.</w:t>
      </w:r>
    </w:p>
    <w:p>
      <w:pPr>
        <w:spacing w:after="0" w:line="206"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231F20"/>
        </w:rPr>
        <w:t>The labeling of pet foods is regulated by both the FDA and certain state regulatory authorities. FDA regulations require proper identification of the product, a net quantity statement, a statement of the name and place of business of the manufacturer or distributor, and proper listing of all the ingredients in order of predominance by weight. Most states also enforce their own labeling regulations, many of which are based on model definitions and guidelines developed by the Association of American Feed Control Officials (the “AAFCO”). AAFCO is a voluntary, non-governmental membership association of local, state, and federal agencies that are charged with regulation of the sale and distribution of animal feed, including pet foods. The degree of oversight of the implementation of these regulations varies by state, but typically includes a state review and approval of each product label as a condition of sale in that state.</w:t>
      </w:r>
    </w:p>
    <w:p>
      <w:pPr>
        <w:spacing w:after="0" w:line="206" w:lineRule="exact"/>
        <w:rPr>
          <w:sz w:val="20"/>
          <w:szCs w:val="20"/>
          <w:color w:val="auto"/>
        </w:rPr>
      </w:pPr>
    </w:p>
    <w:p>
      <w:pPr>
        <w:ind w:right="180" w:firstLine="490"/>
        <w:spacing w:after="0" w:line="270" w:lineRule="auto"/>
        <w:rPr>
          <w:sz w:val="20"/>
          <w:szCs w:val="20"/>
          <w:color w:val="auto"/>
        </w:rPr>
      </w:pPr>
      <w:r>
        <w:rPr>
          <w:rFonts w:ascii="Times New Roman" w:cs="Times New Roman" w:eastAsia="Times New Roman" w:hAnsi="Times New Roman"/>
          <w:sz w:val="19"/>
          <w:szCs w:val="19"/>
          <w:color w:val="231F20"/>
        </w:rPr>
        <w:t>The FDA also regulates the inclusion of specific claims in pet food labeling. For example, pet food products that are labeled or marketed with claims that may suggest that they are intended to treat or prevent disease in pets would potentially meet the statutory definitions of both a food and a drug. The FDA has issued guidance regarding products that provide nutrients in support of an animal’s daily nutrient needs but which are also labeled as being</w:t>
      </w:r>
    </w:p>
    <w:p>
      <w:pPr>
        <w:sectPr>
          <w:pgSz w:w="11880" w:h="15480" w:orient="portrait"/>
          <w:cols w:equalWidth="0" w:num="1">
            <w:col w:w="9360"/>
          </w:cols>
          <w:pgMar w:left="1260" w:top="876" w:right="1260" w:bottom="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9360"/>
          </w:cols>
          <w:pgMar w:left="1260" w:top="876" w:right="1260" w:bottom="0" w:gutter="0" w:footer="0" w:header="0"/>
          <w:type w:val="continuous"/>
        </w:sectPr>
      </w:pPr>
    </w:p>
    <w:bookmarkStart w:id="19" w:name="page20"/>
    <w:bookmarkEnd w:id="19"/>
    <w:p>
      <w:pPr>
        <w:ind w:right="300"/>
        <w:spacing w:after="0" w:line="277" w:lineRule="auto"/>
        <w:rPr>
          <w:sz w:val="20"/>
          <w:szCs w:val="20"/>
          <w:color w:val="auto"/>
        </w:rPr>
      </w:pPr>
      <w:r>
        <w:rPr>
          <w:rFonts w:ascii="Times New Roman" w:cs="Times New Roman" w:eastAsia="Times New Roman" w:hAnsi="Times New Roman"/>
          <w:sz w:val="20"/>
          <w:szCs w:val="20"/>
          <w:color w:val="231F20"/>
        </w:rPr>
        <w:t>intended for use to diagnose, cure, mitigate, treat, or prevent disease, thereby meeting the statutory definitions of both a food and a drug.</w:t>
      </w:r>
    </w:p>
    <w:p>
      <w:pPr>
        <w:spacing w:after="0" w:line="169"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231F20"/>
        </w:rPr>
        <w:t>Under Section 423 of the FFDCA, the FDA may require the recall of an animal feed product if there is a reasonable probability that the product is adulterated or misbranded and the use of or exposure to the product will cause serious adverse health consequences or death. In addition, pet food manufacturers may voluntarily recall or withdraw their products from the market.</w:t>
      </w:r>
    </w:p>
    <w:p>
      <w:pPr>
        <w:spacing w:after="0" w:line="19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Certain states have laws, rules, and regulations that require that veterinary medical practices be either wholly owned or majority owned by licensed veterinarians and that corporations that are not wholly owned or majority owned by licensed veterinarians refrain from providing, or holding themselves out as providers of, veterinary medical care, or directly employing or otherwise exercising control over veterinarians providing such care. In these states and jurisdictions, we provide management and other administrative services to veterinary practices rather than owning such practices or directly employing the veterinarians providing medical care. Although we believe that we have structured our operations to comply with our understanding of the veterinary medicine laws of each state and jurisdiction in which we operate, interpretive legal precedent and regulatory guidance varies by jurisdiction and is often sparse and not fully developed.</w:t>
      </w:r>
    </w:p>
    <w:p>
      <w:pPr>
        <w:spacing w:after="0" w:line="20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In addition, all of the states in which we operate veterinary facilities impose various registration permit and/or licensing requirements. To fulfill these requirements, we have registered each of our facilities with appropriate governmental agencies and, where required, have appointed a licensed veterinarian to act on behalf of each facility. All veterinarians practicing in our animal wellness centers are required to maintain valid state licenses to practice and veterinarians practicing in our full-service hospitals are required to maintain valid licenses with the DEA. We are also required to comply with state laws governing the dispensing of prescription pet medications by our veterinarians. Additionally, our pet insurance plans must be registered with certain state departments of insurance and comply with their requirements.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Petco Love</w:t>
      </w:r>
    </w:p>
    <w:p>
      <w:pPr>
        <w:spacing w:after="0" w:line="124"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Petco Love is a nonprofit organization changing lives by making communities and pet families closer, stronger, and healthier. It is an independent 501(c)(3) nonprofit organization supported by contributions from us, Petco customers, corporate partners, and individual donors. Since its founding in 1999, Petco Love has inspired and empowered animal welfare organizations to make a difference, investing more than $430 million in adoption and medical care programs, reuniting lost pets, spay/neuter services, pet cancer research, service and therapy animals, and numerous other lifesaving initiatives. Through the Think Adoption First program, Petco Love partners with our pet care centers and animal welfare organizations across the country to increase pet adoptions, helping more than 7 million pets to date find their new loving families.</w:t>
      </w:r>
    </w:p>
    <w:p>
      <w:pPr>
        <w:spacing w:after="0" w:line="82"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In April 2021, Petco Love launched Petco Love Lost, a national lost and found pet database that uses image recognition technology to help reunite lost pets with their families should they ever go missing. To date, more than 3,300 animal welfare organizations and pet industry partners across the U.S. utilize the platform, and Petco Love Lost has helped return over 200,000 pets to their loving homes.</w:t>
      </w:r>
    </w:p>
    <w:p>
      <w:pPr>
        <w:spacing w:after="0" w:line="7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 xml:space="preserve">Launched in August 2021, Petco Love’s </w:t>
      </w:r>
      <w:r>
        <w:rPr>
          <w:rFonts w:ascii="Times New Roman" w:cs="Times New Roman" w:eastAsia="Times New Roman" w:hAnsi="Times New Roman"/>
          <w:sz w:val="20"/>
          <w:szCs w:val="20"/>
          <w:i w:val="1"/>
          <w:iCs w:val="1"/>
          <w:color w:val="231F20"/>
        </w:rPr>
        <w:t>Vaccinated and Loved</w:t>
      </w:r>
      <w:r>
        <w:rPr>
          <w:rFonts w:ascii="Times New Roman" w:cs="Times New Roman" w:eastAsia="Times New Roman" w:hAnsi="Times New Roman"/>
          <w:sz w:val="20"/>
          <w:szCs w:val="20"/>
          <w:color w:val="231F20"/>
        </w:rPr>
        <w:t xml:space="preserve"> initiative provides free pet vaccines to its partners. To date, more than 4 million vaccines have been distributed. Providing these much-needed vaccinations in under-resourced communities is something Petco Love believes gives more pets the best chance to live long and healthy lives.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12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Our commercial website is petco.com, and our investor relations website is ir.petco.com. We promptly make available on our investor relations website, free of charge, the reports that we file or furnish with the SEC, corporate governance information (including our Code of Business Conduct and Ethics and Principles of Corporate Governance) and select press releases. We file annual reports on Form 10-K, quarterly reports on Form 10-Q, current reports on Form 8-K, proxy and information statements, and amendments to reports filed or furnished pursuant to Sections 13(a), 14, and 15(d) of the Exchange Act. The SEC maintains a website at sec.gov that contains reports, proxy and information statements, and other information regarding Petco and other issuers that file electronically with the SEC.</w:t>
      </w:r>
    </w:p>
    <w:p>
      <w:pPr>
        <w:sectPr>
          <w:pgSz w:w="11880" w:h="15480" w:orient="portrait"/>
          <w:cols w:equalWidth="0" w:num="1">
            <w:col w:w="9320"/>
          </w:cols>
          <w:pgMar w:left="1260" w:top="88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9320"/>
          </w:cols>
          <w:pgMar w:left="1260" w:top="880" w:right="130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126"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i w:val="1"/>
          <w:iCs w:val="1"/>
          <w:color w:val="231F20"/>
        </w:rPr>
        <w:t>Investing in our securities involves uncertainty and risk due to a variety of factors. You should carefully consider the risks described below with all of the other information included in this Annual Report on Form 10-K. Statements in this section are based on the Company’s beliefs and opinions regarding matters that could materially adversely affect the Company in the future. References to past events are provided by way of example only and are not intended to be a complete listing or a representation as to whether or not such factors have occurred in the past. Further, the risks and uncertainties described below are not the only ones we face and should not be considered a complete statement of all potential risks or uncertainties that the Company faces or may face in the future. Additional risks not presently known to us or that we currently deem immaterial may also materially affect our business. If any of the following risks were to occur, our business, financial condition, and results of operations could be materially adversely affected. In that case, the trading price of our Class A common stock could decline, and you could lose all or part of your investment. For a summary of these risks, please read “Risk Factors Summary,” which immediately precedes Part I, Item 1 of this Annual Report on Form 10-K.</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Business</w:t>
      </w:r>
    </w:p>
    <w:p>
      <w:pPr>
        <w:spacing w:after="0" w:line="12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 decline in consumer spending or a change in consumer preferences or demographics could reduce our sales or profitability and adversely affect our business.</w:t>
      </w:r>
    </w:p>
    <w:p>
      <w:pPr>
        <w:spacing w:after="0" w:line="4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Our sales depend on consumer spending, which is influenced by numerous factors beyond our control, including general economic conditions, disruption or volatility in global financial markets, changes in interest rates, inflation, the availability of discretionary income and credit, weather, consumer confidence, and unemployment levels. We have experienced, and could continue to experience, declines in sales of certain products and services and changes in the types of products and services purchased during economic downturns. Our business could be harmed by any material decline in the amount of consumer spending, which could reduce our sales, or a decrease in the sales of higher-margin products and services, which could reduce our profitability and adversely affect our business. For instance, an increase in price sensitivity in discretionary consumer spending due in part to persistent inflation has negatively impacted sales of discretionary items, which has had, and could continue to have, an adverse effect on our profitability.</w:t>
      </w:r>
    </w:p>
    <w:p>
      <w:pPr>
        <w:spacing w:after="0" w:line="202"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31F20"/>
        </w:rPr>
        <w:t>We have also benefited from increasing pet ownership, discretionary spending on pets, and trends in humanization and premiumization in the pet industry, as well as favorable pet ownership demographics. To the extent these trends continue to slow or reverse, our sales and profitability would continue to be adversely affected. Specifically, spending on non-discretionary items has declined due in part to persistent inflation, which has adversely impacted our profitability. Further, in response to shifting consumer demand, beginning in fiscal 2023 we broadened our assortment to include more national brand products, which are typically lower priced and less profitable, in addition to taking strategic pricing actions throughout our broader assortment of merchandise. Though sales of such products have been significant, if we do not increase the average basket size of customers purchasing such products, or we are unsuccessful in transitioning such customers into higher margin products over time, then our profitability could be adversely affected. The success of our business depends in part on our ability to identify and respond to evolving trends in demographics and consumer preferences. Failure to timely identify or effectively respond to changing consumer tastes, preferences, spending patterns, and pet care needs could adversely affect our relationship with our customers, the demand for our products and services, our market share, and our profitability.</w:t>
      </w:r>
    </w:p>
    <w:p>
      <w:pPr>
        <w:spacing w:after="0" w:line="323" w:lineRule="exact"/>
        <w:rPr>
          <w:sz w:val="20"/>
          <w:szCs w:val="20"/>
          <w:color w:val="auto"/>
        </w:rPr>
      </w:pPr>
    </w:p>
    <w:p>
      <w:pPr>
        <w:jc w:val="both"/>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growth of our business depends in part on our ability to accurately predict consumer trends, successfully introduce new products and services, improve existing products and services, and expand into new offerings.</w:t>
      </w:r>
    </w:p>
    <w:p>
      <w:pPr>
        <w:spacing w:after="0" w:line="4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Our growth depends, in part, on our ability to successfully introduce, improve, and reposition our products and services to meet the requirements of pet parents. This, in turn, depends on our ability to predict and respond to evolving consumer trends, demands, and preferences. For instance, in fiscal 2025, we grew our</w:t>
      </w:r>
    </w:p>
    <w:p>
      <w:pPr>
        <w:spacing w:after="0" w:line="2" w:lineRule="exact"/>
        <w:rPr>
          <w:sz w:val="20"/>
          <w:szCs w:val="20"/>
          <w:color w:val="auto"/>
        </w:rPr>
      </w:pPr>
    </w:p>
    <w:p>
      <w:pPr>
        <w:ind w:right="360"/>
        <w:spacing w:after="0" w:line="248" w:lineRule="auto"/>
        <w:rPr>
          <w:sz w:val="20"/>
          <w:szCs w:val="20"/>
          <w:color w:val="auto"/>
        </w:rPr>
      </w:pPr>
      <w:r>
        <w:rPr>
          <w:rFonts w:ascii="Times New Roman" w:cs="Times New Roman" w:eastAsia="Times New Roman" w:hAnsi="Times New Roman"/>
          <w:sz w:val="20"/>
          <w:szCs w:val="20"/>
          <w:color w:val="231F20"/>
        </w:rPr>
        <w:t>merchandise offering by expanding our portfolio of owned brands and exclusive products in an effort to position Petco as the go-to destination for premium and innovative pet nutrition and supplies.</w:t>
      </w:r>
    </w:p>
    <w:p>
      <w:pPr>
        <w:spacing w:after="0" w:line="77" w:lineRule="exact"/>
        <w:rPr>
          <w:sz w:val="20"/>
          <w:szCs w:val="20"/>
          <w:color w:val="auto"/>
        </w:rPr>
      </w:pPr>
    </w:p>
    <w:p>
      <w:pPr>
        <w:ind w:firstLine="490"/>
        <w:spacing w:after="0" w:line="263" w:lineRule="auto"/>
        <w:rPr>
          <w:sz w:val="20"/>
          <w:szCs w:val="20"/>
          <w:color w:val="auto"/>
        </w:rPr>
      </w:pPr>
      <w:r>
        <w:rPr>
          <w:rFonts w:ascii="Times New Roman" w:cs="Times New Roman" w:eastAsia="Times New Roman" w:hAnsi="Times New Roman"/>
          <w:sz w:val="19"/>
          <w:szCs w:val="19"/>
          <w:color w:val="231F20"/>
        </w:rPr>
        <w:t>Our ability to innovate is affected by the technical capability of our product development staff and third-party consultants in developing and testing new products, including complying with governmental regulations, our attractiveness as a partner for outside research and development scientists and entrepreneurs, the success of our management and sales team in introducing and marketing new products and service offerings, and our ability to leverage our digital and data capabilities to gather and respond to consumer feedback. Additionally, the development and introduction of innovative new products and services and expansion into new offerings involves considerable</w:t>
      </w:r>
    </w:p>
    <w:p>
      <w:pPr>
        <w:sectPr>
          <w:pgSz w:w="11880" w:h="15480" w:orient="portrait"/>
          <w:cols w:equalWidth="0" w:num="1">
            <w:col w:w="9360"/>
          </w:cols>
          <w:pgMar w:left="1260" w:top="876" w:right="1260" w:bottom="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9360"/>
          </w:cols>
          <w:pgMar w:left="1260" w:top="876" w:right="1260" w:bottom="0" w:gutter="0" w:footer="0" w:header="0"/>
          <w:type w:val="continuous"/>
        </w:sectPr>
      </w:pPr>
    </w:p>
    <w:bookmarkStart w:id="21" w:name="page22"/>
    <w:bookmarkEnd w:id="21"/>
    <w:p>
      <w:pPr>
        <w:ind w:right="160"/>
        <w:spacing w:after="0" w:line="258" w:lineRule="auto"/>
        <w:rPr>
          <w:sz w:val="20"/>
          <w:szCs w:val="20"/>
          <w:color w:val="auto"/>
        </w:rPr>
      </w:pPr>
      <w:r>
        <w:rPr>
          <w:rFonts w:ascii="Times New Roman" w:cs="Times New Roman" w:eastAsia="Times New Roman" w:hAnsi="Times New Roman"/>
          <w:sz w:val="20"/>
          <w:szCs w:val="20"/>
          <w:color w:val="231F20"/>
        </w:rPr>
        <w:t>costs. Any new product, service, or offering may not generate sufficient customer interest and sales to become profitable or to cover the costs of its development and promotion and, as a result, may adversely impact our results of operations, including our profitability.</w:t>
      </w:r>
    </w:p>
    <w:p>
      <w:pPr>
        <w:spacing w:after="0" w:line="188" w:lineRule="exact"/>
        <w:rPr>
          <w:sz w:val="20"/>
          <w:szCs w:val="20"/>
          <w:color w:val="auto"/>
        </w:rPr>
      </w:pPr>
    </w:p>
    <w:p>
      <w:pPr>
        <w:ind w:right="300" w:firstLine="490"/>
        <w:spacing w:after="0" w:line="249" w:lineRule="auto"/>
        <w:rPr>
          <w:sz w:val="20"/>
          <w:szCs w:val="20"/>
          <w:color w:val="auto"/>
        </w:rPr>
      </w:pPr>
      <w:r>
        <w:rPr>
          <w:rFonts w:ascii="Times New Roman" w:cs="Times New Roman" w:eastAsia="Times New Roman" w:hAnsi="Times New Roman"/>
          <w:sz w:val="20"/>
          <w:szCs w:val="20"/>
          <w:color w:val="231F20"/>
        </w:rPr>
        <w:t>We may be unable to determine with accuracy when or whether any of our products or services now under development will be launched, and we may be unable to develop or otherwise acquire product candidates or products. Additionally, we cannot predict whether any such products or services, once launched, will be commercially successful. If we are unable to successfully develop or otherwise acquire new products or services, our business, financial condition, and results of operations may be materially adversely affected.</w:t>
      </w:r>
    </w:p>
    <w:p>
      <w:pPr>
        <w:spacing w:after="0" w:line="317"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continued success is substantially dependent on positive perceptions of Petco, including our owned or exclusive brands.</w:t>
      </w:r>
    </w:p>
    <w:p>
      <w:pPr>
        <w:spacing w:after="0" w:line="4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We believe that one of the reasons our customers prefer to shop at Petco, and that our partners choose Petco as a place of employment, is the reputation we have built over many years of serving our primary constituencies: customers; partners; and the communities in which we operate. These are core elements of the Petco mission and brand. To be successful in the future, we must continue to preserve, grow, and leverage the value of our reputation and our brand. Reputational value is based in large part on perceptions of subjective qualities, and even isolated incidents (even if based on rumor or misunderstanding) that erode trust and confidence, particularly if they result in adverse publicity or widespread reaction on social media, governmental investigations, or litigation, can have an adverse impact on these perceptions and lead to adverse effects on our business, including decreased comparable sales, consumer boycotts, loss of new pet care center development opportunities, lower partner morale and productivity, or partner recruiting and retention difficulties.</w:t>
      </w:r>
    </w:p>
    <w:p>
      <w:pPr>
        <w:spacing w:after="0" w:line="202"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231F20"/>
        </w:rPr>
        <w:t>In addition, we sell many products under our owned or private label brands. Maintaining consistent product quality, competitive pricing, and availability of our branded products for our customers is essential to developing and maintaining customer loyalty and brand awareness. These products often have higher margins than national brand products. If one or more of these brands experience a loss of consumer acceptance or confidence, our sales and gross margin could be adversely affected.</w:t>
      </w:r>
    </w:p>
    <w:p>
      <w:pPr>
        <w:spacing w:after="0" w:line="3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Competition in the markets in which we operate, including internet-based competition, is strong and if we are unable to compete effectively, our ability to generate sales may suffer and our operating income and net income could decline.</w:t>
      </w:r>
    </w:p>
    <w:p>
      <w:pPr>
        <w:spacing w:after="0" w:line="6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The pet care industry is highly competitive. We compete with a number of specialty pet store chains and independent pet stores. We also compete with online retailers, supermarkets, warehouse clubs, and mass merchants. The pet care industry has become increasingly competitive due to the expansion of pet-related product and service offerings by certain supermarkets, warehouse clubs, other retail merchandisers, and online retailers, and the entrance of additional independent pet stores with unique product and service offerings and other pet specialty retailers into the pet food and pet supply market, some of which have developed store formats similar to ours. Some competitors are larger and have access to greater capital and the ability to invest more resources than we do.</w:t>
      </w:r>
    </w:p>
    <w:p>
      <w:pPr>
        <w:spacing w:after="0" w:line="200"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231F20"/>
        </w:rPr>
        <w:t>We have been facing greater competition from national, regional, local, and online retailers. In particular, major competitors have sought to gain or retain market share by reducing prices or by introducing additional products or services, and this has required us to reduce prices on certain products or services and introduce new offerings in order to remain competitive, which could negatively affect our profitability and/or require a change in our operating strategies.</w:t>
      </w:r>
    </w:p>
    <w:p>
      <w:pPr>
        <w:spacing w:after="0" w:line="197"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Sustained change in consumer preferences could decrease the attractiveness of what we believe to be our competitive advantages, including our extensive product assortment, premium product offerings, omnichannel capabilities, owned service offerings, and a unique customer experience, which could adversely affect our business and results of operations. Further, if we fail to otherwise positively differentiate our customer experience from that of our competitors, our business and results of operations could be adversely affected.</w:t>
      </w:r>
    </w:p>
    <w:p>
      <w:pPr>
        <w:sectPr>
          <w:pgSz w:w="11880" w:h="15480" w:orient="portrait"/>
          <w:cols w:equalWidth="0" w:num="1">
            <w:col w:w="9340"/>
          </w:cols>
          <w:pgMar w:left="1260" w:top="88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9340"/>
          </w:cols>
          <w:pgMar w:left="1260" w:top="880" w:right="1280" w:bottom="0" w:gutter="0" w:footer="0" w:header="0"/>
          <w:type w:val="continuous"/>
        </w:sectPr>
      </w:pPr>
    </w:p>
    <w:bookmarkStart w:id="22" w:name="page23"/>
    <w:bookmarkEnd w:id="22"/>
    <w:p>
      <w:pPr>
        <w:ind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unable to execute our growth strategies successfully or manage and sustain our growth and, as a result, our business may be adversely affected.</w:t>
      </w:r>
    </w:p>
    <w:p>
      <w:pPr>
        <w:spacing w:after="0" w:line="49"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31F20"/>
        </w:rPr>
        <w:t>Our strategies include, among other things, developing compelling products that are new and trend-driven, offering our customers an engaging store experience that is supported by passionate and trusted in-store employees, expanding our veterinary, training, and grooming service offerings, building out our digital and data capabilities in an effort to provide a seamless omnichannel experience, growing our market share in consumables like fresh/frozen and in services like veterinary care, grooming, and training, enhancing our owned brand portfolio, streamlining floor-level processes and store manager responsibilities in our pet care centers, and introducing new offerings to better connect with our customers. However, we may not be able to execute on these strategies as effectively as anticipated. Our ability to execute on these strategies depends on a number of factors, including:</w:t>
      </w:r>
    </w:p>
    <w:p>
      <w:pPr>
        <w:spacing w:after="0" w:line="96" w:lineRule="exact"/>
        <w:rPr>
          <w:sz w:val="20"/>
          <w:szCs w:val="20"/>
          <w:color w:val="auto"/>
        </w:rPr>
      </w:pPr>
    </w:p>
    <w:p>
      <w:pPr>
        <w:ind w:left="980" w:right="220" w:hanging="490"/>
        <w:spacing w:after="0" w:line="276"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we have adequate capital resources to expand our offerings and build out our digital and data capabilities;</w:t>
      </w:r>
    </w:p>
    <w:p>
      <w:pPr>
        <w:spacing w:after="0" w:line="44" w:lineRule="exact"/>
        <w:rPr>
          <w:rFonts w:ascii="Arial" w:cs="Arial" w:eastAsia="Arial" w:hAnsi="Arial"/>
          <w:sz w:val="20"/>
          <w:szCs w:val="20"/>
          <w:color w:val="231F20"/>
        </w:rPr>
      </w:pPr>
    </w:p>
    <w:p>
      <w:pPr>
        <w:ind w:left="980" w:hanging="490"/>
        <w:spacing w:after="0" w:line="254"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include veterinary services in our existing pet care centers or in our remodeled or relocated pet care centers;</w:t>
      </w:r>
    </w:p>
    <w:p>
      <w:pPr>
        <w:spacing w:after="0" w:line="60" w:lineRule="exact"/>
        <w:rPr>
          <w:rFonts w:ascii="Arial" w:cs="Arial" w:eastAsia="Arial" w:hAnsi="Arial"/>
          <w:sz w:val="20"/>
          <w:szCs w:val="20"/>
          <w:color w:val="231F20"/>
        </w:rPr>
      </w:pPr>
    </w:p>
    <w:p>
      <w:pPr>
        <w:ind w:left="980" w:right="460" w:hanging="490"/>
        <w:spacing w:after="0" w:line="254"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relocate our pet care centers and obtain favorable sites and negotiate acceptable lease terms;</w:t>
      </w:r>
    </w:p>
    <w:p>
      <w:pPr>
        <w:spacing w:after="0" w:line="60" w:lineRule="exact"/>
        <w:rPr>
          <w:rFonts w:ascii="Arial" w:cs="Arial" w:eastAsia="Arial" w:hAnsi="Arial"/>
          <w:sz w:val="20"/>
          <w:szCs w:val="20"/>
          <w:color w:val="231F20"/>
        </w:rPr>
      </w:pPr>
    </w:p>
    <w:p>
      <w:pPr>
        <w:ind w:left="980" w:right="280" w:hanging="490"/>
        <w:spacing w:after="0" w:line="254"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hire, train, and retain skilled personnel, including veterinarians, information technology professionals, owned brand merchants, groomers, and trainers;</w:t>
      </w:r>
    </w:p>
    <w:p>
      <w:pPr>
        <w:spacing w:after="0" w:line="60" w:lineRule="exact"/>
        <w:rPr>
          <w:rFonts w:ascii="Arial" w:cs="Arial" w:eastAsia="Arial" w:hAnsi="Arial"/>
          <w:sz w:val="20"/>
          <w:szCs w:val="20"/>
          <w:color w:val="231F20"/>
        </w:rPr>
      </w:pPr>
    </w:p>
    <w:p>
      <w:pPr>
        <w:ind w:left="980" w:hanging="490"/>
        <w:spacing w:after="0"/>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acceptance in new markets, as well as our ability to withstand competition in such markets; and</w:t>
      </w:r>
    </w:p>
    <w:p>
      <w:pPr>
        <w:spacing w:after="0" w:line="110" w:lineRule="exact"/>
        <w:rPr>
          <w:rFonts w:ascii="Arial" w:cs="Arial" w:eastAsia="Arial" w:hAnsi="Arial"/>
          <w:sz w:val="20"/>
          <w:szCs w:val="20"/>
          <w:color w:val="231F20"/>
        </w:rPr>
      </w:pPr>
    </w:p>
    <w:p>
      <w:pPr>
        <w:ind w:left="980" w:right="240" w:hanging="490"/>
        <w:spacing w:after="0" w:line="254" w:lineRule="auto"/>
        <w:tabs>
          <w:tab w:leader="none" w:pos="98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continue to upgrade our information and other operating systems and to make use of the data that we collect through these systems to offer better products and services to our customers.</w:t>
      </w:r>
    </w:p>
    <w:p>
      <w:pPr>
        <w:spacing w:after="0" w:line="168" w:lineRule="exact"/>
        <w:rPr>
          <w:sz w:val="20"/>
          <w:szCs w:val="20"/>
          <w:color w:val="auto"/>
        </w:rPr>
      </w:pPr>
    </w:p>
    <w:p>
      <w:pPr>
        <w:ind w:right="100" w:firstLine="490"/>
        <w:spacing w:after="0" w:line="228" w:lineRule="auto"/>
        <w:rPr>
          <w:sz w:val="20"/>
          <w:szCs w:val="20"/>
          <w:color w:val="auto"/>
        </w:rPr>
      </w:pPr>
      <w:r>
        <w:rPr>
          <w:rFonts w:ascii="Times New Roman" w:cs="Times New Roman" w:eastAsia="Times New Roman" w:hAnsi="Times New Roman"/>
          <w:sz w:val="20"/>
          <w:szCs w:val="20"/>
          <w:color w:val="231F20"/>
        </w:rPr>
        <w:t>Our existing locations may not maintain their current levels of sales and profitability, and our growth strategies may not generate sales levels necessary to achieve pet care center level profitability comparable to that of our existing locations. To the extent that we are unable to execute on our growth strategies in accordance with our expectations, our sales growth would come primarily from the organic growth of existing product and service offerings.</w:t>
      </w:r>
    </w:p>
    <w:p>
      <w:pPr>
        <w:spacing w:after="0" w:line="303"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20"/>
          <w:szCs w:val="20"/>
          <w:b w:val="1"/>
          <w:bCs w:val="1"/>
          <w:i w:val="1"/>
          <w:iCs w:val="1"/>
          <w:color w:val="231F20"/>
        </w:rPr>
        <w:t>We have, at times, experienced difficulties recruiting and retaining skilled veterinarians due to shortages that could disrupt our business.</w:t>
      </w:r>
    </w:p>
    <w:p>
      <w:pPr>
        <w:spacing w:after="0" w:line="49" w:lineRule="exact"/>
        <w:rPr>
          <w:sz w:val="20"/>
          <w:szCs w:val="20"/>
          <w:color w:val="auto"/>
        </w:rPr>
      </w:pPr>
    </w:p>
    <w:p>
      <w:pPr>
        <w:ind w:firstLine="490"/>
        <w:spacing w:after="0" w:line="222" w:lineRule="auto"/>
        <w:rPr>
          <w:sz w:val="20"/>
          <w:szCs w:val="20"/>
          <w:color w:val="auto"/>
        </w:rPr>
      </w:pPr>
      <w:r>
        <w:rPr>
          <w:rFonts w:ascii="Times New Roman" w:cs="Times New Roman" w:eastAsia="Times New Roman" w:hAnsi="Times New Roman"/>
          <w:sz w:val="20"/>
          <w:szCs w:val="20"/>
          <w:color w:val="231F20"/>
        </w:rPr>
        <w:t>The successful growth of our veterinary services business depends significantly on our ability to recruit and retain skilled veterinarians and other veterinary technical staff. We face competition from other veterinary service providers in the labor market for veterinarians and veterinary technical staff, from time to time, we have experienced shortages of skilled veterinarians in markets in which we operate, or desire to operate, our veterinary service businesses, which has required us or our affiliated veterinary practices to increase wages and enhance benefits to recruit and retain enough qualified veterinarians and veterinary technical staff to adequately staff our veterinary services operations. If we are unable to recruit and retain qualified veterinarians and veterinary technical staff, or to control our labor costs, our business, financial condition, and results of operations may be materially adversely affected.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face various risks as an e-commerce retailer.</w:t>
      </w:r>
    </w:p>
    <w:p>
      <w:pPr>
        <w:spacing w:after="0" w:line="97" w:lineRule="exact"/>
        <w:rPr>
          <w:sz w:val="20"/>
          <w:szCs w:val="20"/>
          <w:color w:val="auto"/>
        </w:rPr>
      </w:pPr>
    </w:p>
    <w:p>
      <w:pPr>
        <w:ind w:right="100" w:firstLine="490"/>
        <w:spacing w:after="0" w:line="223" w:lineRule="auto"/>
        <w:rPr>
          <w:sz w:val="20"/>
          <w:szCs w:val="20"/>
          <w:color w:val="auto"/>
        </w:rPr>
      </w:pPr>
      <w:r>
        <w:rPr>
          <w:rFonts w:ascii="Times New Roman" w:cs="Times New Roman" w:eastAsia="Times New Roman" w:hAnsi="Times New Roman"/>
          <w:sz w:val="20"/>
          <w:szCs w:val="20"/>
          <w:color w:val="231F20"/>
        </w:rPr>
        <w:t>As part of our growth strategy, we seek to further integrate our in-store and online operations and have made, and expect to continue to make, significant investments to integrate and grow our e-commerce business. We may require additional capital in the future to sustain or grow our e-commerce business. Business risks related to our e-commerce business include our inability to keep pace with rapid technological change, failure in our security procedures or operational controls, failure or inadequacy in our systems or labor resource levels to effectively process customer orders in a timely manner, government regulation and legal uncertainties with respect to e-commerce, and collection of sales or other taxes by one or more states or foreign jurisdictions. If any of these risks materialize, they could have an adverse effect on our business.</w:t>
      </w:r>
    </w:p>
    <w:p>
      <w:pPr>
        <w:sectPr>
          <w:pgSz w:w="11880" w:h="15480" w:orient="portrait"/>
          <w:cols w:equalWidth="0" w:num="1">
            <w:col w:w="9340"/>
          </w:cols>
          <w:pgMar w:left="1260" w:top="88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9340"/>
          </w:cols>
          <w:pgMar w:left="1260" w:top="880" w:right="1280" w:bottom="0" w:gutter="0" w:footer="0" w:header="0"/>
          <w:type w:val="continuous"/>
        </w:sectPr>
      </w:pPr>
    </w:p>
    <w:bookmarkStart w:id="23" w:name="page24"/>
    <w:bookmarkEnd w:id="23"/>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Additionally, customer expectations about the methods by which they purchase and receive products or services are also becoming more demanding. Customers routinely use technology and a variety of electronic devices and digital platforms to rapidly compare products and prices, read product reviews, determine real-time product availability, and purchase products. Once products are purchased, customers are seeking alternate options for delivery of those products, and they often expect quick, timely, and low-price or free delivery and/or convenient pickup options. In addition, if there are changes in the usage and functioning of search engines or decreases in consumer use of search engines, for example, as a result of the continued development of AI technology, this could negatively impact our websites. We must continually anticipate and adapt to these changes in the purchasing process.</w:t>
      </w:r>
    </w:p>
    <w:p>
      <w:pPr>
        <w:spacing w:after="0" w:line="206" w:lineRule="exact"/>
        <w:rPr>
          <w:sz w:val="20"/>
          <w:szCs w:val="20"/>
          <w:color w:val="auto"/>
        </w:rPr>
      </w:pPr>
    </w:p>
    <w:p>
      <w:pPr>
        <w:ind w:right="240" w:firstLine="490"/>
        <w:spacing w:after="0" w:line="246" w:lineRule="auto"/>
        <w:rPr>
          <w:sz w:val="20"/>
          <w:szCs w:val="20"/>
          <w:color w:val="auto"/>
        </w:rPr>
      </w:pPr>
      <w:r>
        <w:rPr>
          <w:rFonts w:ascii="Times New Roman" w:cs="Times New Roman" w:eastAsia="Times New Roman" w:hAnsi="Times New Roman"/>
          <w:sz w:val="20"/>
          <w:szCs w:val="20"/>
          <w:color w:val="231F20"/>
        </w:rPr>
        <w:t>In some circumstances, increased transactions through our website may result in reduced customer traffic in our pet care centers, particularly as customers take advantage of buy online and pick up in store, curbside pickup, and home delivery services available for online orders when making certain types of purchases, such as for bulk orders, repeat deliveries, or heavy pet products. There is a risk that any such reduced customer traffic may reduce the sales of certain products and services in our pet care centers. The cost of shipping online orders, incuding the availability of promotional shipping of online and “extended aisle” orders increases our costs and could adversely affect our profitability.</w:t>
      </w:r>
    </w:p>
    <w:p>
      <w:pPr>
        <w:spacing w:after="0" w:line="20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In addition, as other internet retailers have increased market share in recent years, we have faced increased competition, and may continue to face increased competition in the future, from internet retailers who enter the market. Our failure to positively differentiate our product and services offerings or customer experience from these internet retailers, including offering competitive pricing for our products, could have a material adverse effect on our business, financial condition, and results of operations.</w:t>
      </w:r>
    </w:p>
    <w:p>
      <w:pPr>
        <w:spacing w:after="0" w:line="317"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fail to generate or obtain sufficient capital to finance our growth strategies, we may be unable to sustain our growth and our business may be adversely affected.</w:t>
      </w:r>
    </w:p>
    <w:p>
      <w:pPr>
        <w:spacing w:after="0" w:line="49"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Our growth rate depends, to a large degree, on the availability of adequate capital to fund the expansion of our offerings, including veterinary services, digital capabilities, and enhancing our store experience, which in turn will depend in large part on cash flow generated by our business and the availability of equity and debt capital. We cannot assure you that we will be able to maintain sufficient cash flow or obtain sufficient equity or debt capital on acceptable terms, or at all, to support our expansion plans.</w:t>
      </w:r>
    </w:p>
    <w:p>
      <w:pPr>
        <w:spacing w:after="0" w:line="197" w:lineRule="exact"/>
        <w:rPr>
          <w:sz w:val="20"/>
          <w:szCs w:val="20"/>
          <w:color w:val="auto"/>
        </w:rPr>
      </w:pPr>
    </w:p>
    <w:p>
      <w:pPr>
        <w:ind w:right="80" w:firstLine="490"/>
        <w:spacing w:after="0" w:line="257" w:lineRule="auto"/>
        <w:rPr>
          <w:sz w:val="20"/>
          <w:szCs w:val="20"/>
          <w:color w:val="auto"/>
        </w:rPr>
      </w:pPr>
      <w:r>
        <w:rPr>
          <w:rFonts w:ascii="Times New Roman" w:cs="Times New Roman" w:eastAsia="Times New Roman" w:hAnsi="Times New Roman"/>
          <w:sz w:val="19"/>
          <w:szCs w:val="19"/>
          <w:color w:val="231F20"/>
        </w:rPr>
        <w:t>Moreover, the First Lien Credit Agreement, dated as of March 4, 2021, as amended by the First Amendment to Credit Agreement, dated as of December 12, 2022, as further amended by the Second Amendment to Credit Agreement, dated as of February 2, 2026 (as amended from time to time, the “Term Loan Credit Agreement”), among the Company, the lenders from time to time party thereto, and the Administrative Agent, governing the First Lien Term Loan, the ABL Credit Agreement, dated as of March 4, 2021, as amended by the First Amendment to ABL Credit Agreement, dated as of December 12, 2022, as further amended by the Second Amendment to ABL Credit Agreement, dated as of March 29, 2024 (as amended from time to time, the “ABL Credit Agreement”), among the Company, the lenders from time to time party thereto, and the Administrative Agent, governing the ABL Revolving Credit Facility, and the Indenture, dated as of February 2, 2026 (the “Indenture”), among the Company, the guarantors from time to time party thereto, and the trustee and collateral agent party thereto, governing our Senior Secured Notes, contain provisions that restrict the amount of debt we may incur in the future, and certain other covenants that may restrict or impair our growth plans. If we are not successful in generating or obtaining sufficient capital, we may be unable to invest in our growth, which may adversely affect our results of operations.</w:t>
      </w:r>
    </w:p>
    <w:p>
      <w:pPr>
        <w:spacing w:after="0" w:line="309"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depend on key personnel, and if we lose the services of any of our executive officers, we may not be able to run our business effectively.</w:t>
      </w:r>
    </w:p>
    <w:p>
      <w:pPr>
        <w:spacing w:after="0" w:line="4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We are dependent upon the efforts of our key personnel, including our executive officers, and from time to time, there have been, and in the future may be, changes to our management team resulting from the hiring, departure or realignment of executive functions. The departure of any of our key personnel could affect our ability to run our business effectively or without disruption. Our success will, in part, depend on our ability to retain our current management and to develop, attract, and retain qualified personnel in the future. Competition for senior management personnel is intense with increasingly aggressive compensation packages, and we cannot assure you that we can retain our key personnel or that our succession planning will prove effective. Furthermore, significant declines in our stock price have reduced the retention value of our outstanding share-based awards, which could</w:t>
      </w:r>
    </w:p>
    <w:p>
      <w:pPr>
        <w:sectPr>
          <w:pgSz w:w="11880" w:h="15480" w:orient="portrait"/>
          <w:cols w:equalWidth="0" w:num="1">
            <w:col w:w="9360"/>
          </w:cols>
          <w:pgMar w:left="1260" w:top="880" w:right="1260" w:bottom="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9360"/>
          </w:cols>
          <w:pgMar w:left="1260" w:top="880" w:right="1260" w:bottom="0" w:gutter="0" w:footer="0" w:header="0"/>
          <w:type w:val="continuous"/>
        </w:sectPr>
      </w:pPr>
    </w:p>
    <w:bookmarkStart w:id="24" w:name="page25"/>
    <w:bookmarkEnd w:id="24"/>
    <w:p>
      <w:pPr>
        <w:ind w:right="20"/>
        <w:spacing w:after="0" w:line="249" w:lineRule="auto"/>
        <w:rPr>
          <w:sz w:val="20"/>
          <w:szCs w:val="20"/>
          <w:color w:val="auto"/>
        </w:rPr>
      </w:pPr>
      <w:r>
        <w:rPr>
          <w:rFonts w:ascii="Times New Roman" w:cs="Times New Roman" w:eastAsia="Times New Roman" w:hAnsi="Times New Roman"/>
          <w:sz w:val="20"/>
          <w:szCs w:val="20"/>
          <w:color w:val="231F20"/>
        </w:rPr>
        <w:t>impact the competitiveness of our compensation over time. The loss of a member of senior management requires the remaining executive officers and our board of directors to divert immediate and substantial attention to seeking a replacement. The inability to fill vacancies in our key personnel positions, including executive positions, on a timely basis could adversely affect our ability to implement our business strategy and be disruptive to our business, which would negatively impact our results of operations.</w:t>
      </w:r>
    </w:p>
    <w:p>
      <w:pPr>
        <w:spacing w:after="0" w:line="317"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loss of any of our key merchandise vendors, or of any of our exclusive distribution arrangements with certain of our vendors, could negatively impact our business.</w:t>
      </w:r>
    </w:p>
    <w:p>
      <w:pPr>
        <w:spacing w:after="0" w:line="49" w:lineRule="exact"/>
        <w:rPr>
          <w:sz w:val="20"/>
          <w:szCs w:val="20"/>
          <w:color w:val="auto"/>
        </w:rPr>
      </w:pPr>
    </w:p>
    <w:p>
      <w:pPr>
        <w:ind w:right="380" w:firstLine="490"/>
        <w:spacing w:after="0" w:line="270" w:lineRule="auto"/>
        <w:rPr>
          <w:sz w:val="20"/>
          <w:szCs w:val="20"/>
          <w:color w:val="auto"/>
        </w:rPr>
      </w:pPr>
      <w:r>
        <w:rPr>
          <w:rFonts w:ascii="Times New Roman" w:cs="Times New Roman" w:eastAsia="Times New Roman" w:hAnsi="Times New Roman"/>
          <w:sz w:val="19"/>
          <w:szCs w:val="19"/>
          <w:color w:val="231F20"/>
        </w:rPr>
        <w:t>We purchase significant amounts of products from a number of vendors with limited supply capabilities. There can be no assurance that our current pet food or supply vendors will be able to accommodate growth and expansion of our business. An inability of our existing vendors to provide products or other product supply disruptions that may occur in the future could impair our business, financial condition, and results of operations.</w:t>
      </w:r>
    </w:p>
    <w:p>
      <w:pPr>
        <w:spacing w:after="0" w:line="57"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We generally do not maintain long-term supply contracts with our merchandise vendors. Thus, most vendors could discontinue selling to us at any time. Although we do not materially rely on any particular vendor, the loss of any of our significant vendors of pet food, particularly owned brand pet food, or pet supplies that we offer could have a negative impact on our business, financial condition, and results of operations. For more information regarding our vendors, please read “Business—Vendor Arrangements.”</w:t>
      </w:r>
    </w:p>
    <w:p>
      <w:pPr>
        <w:spacing w:after="0" w:line="197"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We continually seek to expand our base of pet food and supply vendors and to identify new pet products. If we are unable to identify or enter into distribution relationships with new vendors or to replace the loss of any of our existing vendors, we may experience a competitive disadvantage, our business may be disrupted, and our results of operations may be adversely affected.</w:t>
      </w:r>
    </w:p>
    <w:p>
      <w:pPr>
        <w:spacing w:after="0" w:line="194"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231F20"/>
        </w:rPr>
        <w:t>Many of the premium pet food brands that we purchase are not widely carried in supermarkets, warehouse clubs, or mass merchants. If any premium pet food manufacturers were to make premium pet food products widely available in supermarkets or through mass merchants, or if the premium brands currently available to supermarkets and mass merchants were to increase their market share at the expense of the premium brands sold only through specialty pet food and supplies retailers, our ability to attract and retain customers or our competitive position may suffer. Further, if supermarkets, warehouse clubs, or mass merchants begin offering any of these premium pet food brands at lower prices, our sales and gross margin could be adversely affected.</w:t>
      </w:r>
    </w:p>
    <w:p>
      <w:pPr>
        <w:spacing w:after="0" w:line="20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Some of the pet food brands and product lines we currently purchase and offer for sale to our customers are not offered by our closest pet specialty competitor. However, in most cases, we have not entered into formal exclusivity agreements with the vendors for such brands. In certain circumstances, in the event these vendors choose to enter into distribution arrangements with other specialty pet retailers or other competitors our sales could suffer and our business could be adversely affected.</w:t>
      </w:r>
    </w:p>
    <w:p>
      <w:pPr>
        <w:spacing w:after="0" w:line="197"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Our principal vendors currently provide us with certain incentives such as volume purchasing, trade discounts, cooperative advertising, and market development funds. A reduction or discontinuance of these incentives would increase our costs and could reduce our profitability.</w:t>
      </w:r>
    </w:p>
    <w:p>
      <w:pPr>
        <w:spacing w:after="0" w:line="308"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face various risks related to health epidemics, pandemics, and similar outbreaks, which may materially and adversely affect our business, financial position, results of operations, and cash flows.</w:t>
      </w:r>
    </w:p>
    <w:p>
      <w:pPr>
        <w:spacing w:after="0" w:line="4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Our business and financial results have been, and could be in the future, adversely affected by health epidemics, pandemics, and similar outbreaks. Despite our efforts to manage these matters, their ultimate effects also depend on factors beyond our knowledge or control, including the duration, severity, and recurrence of any outbreak and actions taken to contain its spread and mitigate its public health effects. Health epidemics, pandemics, and similar outbreaks may adversely affect our business, financial position, results of operations, and cash flows, including by resulting in (i) significant volatility in demand for our products and services, (ii) changes in consumer behavior and preferences, (iii) disruptions of our manufacturing and supply chain operations, (iv) disruption of our cost saving programs and restructuring initiatives, (v) limitations on our employees’ ability to work and travel, and (vi) changes to economic or political conditions in markets in which we operate.</w:t>
      </w:r>
    </w:p>
    <w:p>
      <w:pPr>
        <w:sectPr>
          <w:pgSz w:w="11880" w:h="15480" w:orient="portrait"/>
          <w:cols w:equalWidth="0" w:num="1">
            <w:col w:w="9360"/>
          </w:cols>
          <w:pgMar w:left="1260" w:top="88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9360"/>
          </w:cols>
          <w:pgMar w:left="1260" w:top="880" w:right="1260" w:bottom="0" w:gutter="0" w:footer="0" w:header="0"/>
          <w:type w:val="continuous"/>
        </w:sectPr>
      </w:pPr>
    </w:p>
    <w:bookmarkStart w:id="25" w:name="page26"/>
    <w:bookmarkEnd w:id="25"/>
    <w:p>
      <w:pPr>
        <w:ind w:right="2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A disruption, malfunction, or increased costs in the operation, expansion, or replenishment of our distribution centers or our supply chain would affect our ability to deliver to our locations and e-commerce customers or increase our expenses, which could harm our sales and profitability.</w:t>
      </w:r>
    </w:p>
    <w:p>
      <w:pPr>
        <w:spacing w:after="0" w:line="6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Our vendors generally ship merchandise to one or more of our distribution centers, which receive and allocate merchandise to our locations and e-commerce customers. The success of our pet care centers depends on their timely receipt of merchandise. If any shipped merchandise were to be delayed because of the impact of severe weather, tariffs, or other disruptions on transnational shipping, particularly from our vendors in Asia, our operations would likely be significantly disrupted. Disruption to shipping and transportation channels due to slowdowns or work stoppages at ports on the West Coast of the United States have occurred in the past, and to the extent they occur in the future, could cause us to rely more heavily on airfreight to achieve timely delivery to our customers, resulting in significantly higher freight costs. Further, increased transportation costs, including tariffs and sustained increases in fuel costs, have resulted in higher operating costs in the past. We may not be able to pass all or any portion of these higher costs on to our customers or adjust our pricing structure in a timely manner in order to remain competitive, either of which could have a material adverse effect on our results of operations.</w:t>
      </w:r>
    </w:p>
    <w:p>
      <w:pPr>
        <w:spacing w:after="0" w:line="20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In the past we have faced labor shortages at several of our distribution centers, which has adversely affected our results of operations. If any of our distribution centers were to shut down, suffer substantial labor shortages, or lose significant capacity for any reason, our operations would likely be significantly disrupted. We compete with other retailers for the supply of personnel to staff our distribution centers, some of whom are larger than us and have access to greater capital resources than we do. If we are unable to successfully recruit and retain personnel to staff our distribution centers, we may face labor shortages or be forced to increase wages and enhance benefits for such personnel, which may have an adverse effect on our results of operations. In addition, any interruption or malfunction in our distribution operations, including, but not limited to, the loss of a key vendor that provides transportation of merchandise to or from our distribution centers, labor shortages, or regulatory issues with respect to any of our distribution centers, could adversely affect our sales and results of operations. Previous interruptions in our inventory supply chain have resulted in certain out-of-stock or excess merchandise inventory levels, and could adversely affect our ability to make timely deliveries to e-commerce customers, as well as our sales and results of operations.</w:t>
      </w:r>
    </w:p>
    <w:p>
      <w:pPr>
        <w:spacing w:after="0" w:line="323"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occasionally seek to grow our business through acquisitions of, or investments in, new or complementary businesses, products, or services, or through strategic ventures, and the failure to successfully identify these opportunities, manage and integrate these acquisitions, investments, or alliances, or to achieve an adequate return on these investments, could have an adverse effect on us.</w:t>
      </w:r>
    </w:p>
    <w:p>
      <w:pPr>
        <w:spacing w:after="0" w:line="74"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231F20"/>
        </w:rPr>
        <w:t>The pet care industry is highly fragmented. We have completed acquisitions in the past and may pursue expansion and acquisition opportunities in the future, including veterinary hospitals. If we are unable to manage acquisitions, investments, or strategic ventures, or integrate any acquired businesses, services, or technologies effectively, we may not realize the expected benefits from the transaction relative to the consideration paid, and our business, financial condition, and results of operations may be adversely affected. To be successful, the integration process requires us to achieve the benefits of combining the companies, including generating operating efficiencies and synergies, successfully integrating personnel, and eliminating or reducing redundant costs. This integration process involves inherent uncertainties, and we cannot assure you that the anticipated benefits of these acquisitions will be fully realized without incurring unanticipated costs or diverting management’s attention from our core operations. Additionally, acquisitions and other transactions may be subject to regulatory challenges from antitrust or other regulatory authorities that may be lengthy and/or costly and may ultimately block, delay or impose conditions (such as divestitures, ownership or operational restrictions or other structural or behavioral remedies) on the completion of transactions or the integration of acquired operations.</w:t>
      </w:r>
    </w:p>
    <w:p>
      <w:pPr>
        <w:spacing w:after="0" w:line="203"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From time to time we also make strategic investments. These investments typically involve many of the same risks posed by acquisitions, particularly those risks associated with the diversion of our resources, the inability of the new venture to generate sufficient revenues or a return on our investment, the management of relationships with third parties, and potential expenses. Strategic ventures have the added risk that the other strategic venture partners may have economic, business, or legal interests or objectives that are inconsistent with our interests and objectives.</w:t>
      </w:r>
    </w:p>
    <w:p>
      <w:pPr>
        <w:spacing w:after="0" w:line="197" w:lineRule="exact"/>
        <w:rPr>
          <w:sz w:val="20"/>
          <w:szCs w:val="20"/>
          <w:color w:val="auto"/>
        </w:rPr>
      </w:pPr>
    </w:p>
    <w:p>
      <w:pPr>
        <w:ind w:right="40" w:firstLine="490"/>
        <w:spacing w:after="0" w:line="270" w:lineRule="auto"/>
        <w:rPr>
          <w:sz w:val="20"/>
          <w:szCs w:val="20"/>
          <w:color w:val="auto"/>
        </w:rPr>
      </w:pPr>
      <w:r>
        <w:rPr>
          <w:rFonts w:ascii="Times New Roman" w:cs="Times New Roman" w:eastAsia="Times New Roman" w:hAnsi="Times New Roman"/>
          <w:sz w:val="19"/>
          <w:szCs w:val="19"/>
          <w:color w:val="231F20"/>
        </w:rPr>
        <w:t>We may also be unsuccessful in identifying and evaluating business, legal, or financial risks as part of the due diligence process associated with a particular transaction. Furthermore, acquired entities or businesses may have differing or inadequate controls, procedures, or policies, including those related to financial reporting, disclosure, practice management, handling of controlled substances, and cyber and information security, which could expose us</w:t>
      </w:r>
    </w:p>
    <w:p>
      <w:pPr>
        <w:sectPr>
          <w:pgSz w:w="11880" w:h="15480" w:orient="portrait"/>
          <w:cols w:equalWidth="0" w:num="1">
            <w:col w:w="9340"/>
          </w:cols>
          <w:pgMar w:left="1260" w:top="880" w:right="1280" w:bottom="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9340"/>
          </w:cols>
          <w:pgMar w:left="1260" w:top="880" w:right="1280" w:bottom="0" w:gutter="0" w:footer="0" w:header="0"/>
          <w:type w:val="continuous"/>
        </w:sectPr>
      </w:pPr>
    </w:p>
    <w:bookmarkStart w:id="26" w:name="page27"/>
    <w:bookmarkEnd w:id="26"/>
    <w:p>
      <w:pPr>
        <w:spacing w:after="0" w:line="244" w:lineRule="auto"/>
        <w:rPr>
          <w:sz w:val="20"/>
          <w:szCs w:val="20"/>
          <w:color w:val="auto"/>
        </w:rPr>
      </w:pPr>
      <w:r>
        <w:rPr>
          <w:rFonts w:ascii="Times New Roman" w:cs="Times New Roman" w:eastAsia="Times New Roman" w:hAnsi="Times New Roman"/>
          <w:sz w:val="20"/>
          <w:szCs w:val="20"/>
          <w:color w:val="231F20"/>
        </w:rPr>
        <w:t>to additional risks and potentially increase anticipated costs or time to integrate the business. In addition, some investments may result in the incurrence of debt or may have contingent consideration components that may require us to pay additional amounts in the future in relation to future performance results of the subject business. If we do enter into agreements with respect to these transactions, we may fail to complete them due to factors such as failure to obtain regulatory or other approvals. We may be unable to realize the full benefits from these transactions, such as increased net sales or enhanced efficiencies, within the timeframes that we expect, or at all. These events could divert attention from our other businesses and adversely affect our business, financial condition, and results of operations. Any future acquisitions also could result in potentially dilutive issuances of equity securities, the incurrence of additional debt, or the assumption of contingent liabilities.</w:t>
      </w:r>
    </w:p>
    <w:p>
      <w:pPr>
        <w:spacing w:after="0" w:line="326" w:lineRule="exact"/>
        <w:rPr>
          <w:sz w:val="20"/>
          <w:szCs w:val="20"/>
          <w:color w:val="auto"/>
        </w:rPr>
      </w:pPr>
    </w:p>
    <w:p>
      <w:pPr>
        <w:jc w:val="both"/>
        <w:ind w:right="4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reputation and business may be harmed if our or our vendors’ computer network security or any of the databases containing customer, employee, or other personal information maintained by us or our third-party providers is compromised, which could materially adversely affect our results of operations.</w:t>
      </w:r>
    </w:p>
    <w:p>
      <w:pPr>
        <w:spacing w:after="0" w:line="6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We collect, store, and/or transmit proprietary or confidential information regarding our customers, employees, job applicants, and others, including credit card information and personally identifiable information. We also collect, store, and transmit employees’ health information in order to administer employee benefits, accommodate disabilities and injuries, and to comply with public health requirements. The protection of customer, employee, and company data in the information technology systems we use (including those maintained by third-party providers) is critical. In the normal course of business, we are and have been the target of malicious cyber-attack attempts and have experienced other cybersecurity incidents.</w:t>
      </w:r>
    </w:p>
    <w:p>
      <w:pPr>
        <w:spacing w:after="0" w:line="200" w:lineRule="exact"/>
        <w:rPr>
          <w:sz w:val="20"/>
          <w:szCs w:val="20"/>
          <w:color w:val="auto"/>
        </w:rPr>
      </w:pPr>
    </w:p>
    <w:p>
      <w:pPr>
        <w:ind w:right="40" w:firstLine="490"/>
        <w:spacing w:after="0" w:line="241" w:lineRule="auto"/>
        <w:rPr>
          <w:sz w:val="20"/>
          <w:szCs w:val="20"/>
          <w:color w:val="auto"/>
        </w:rPr>
      </w:pPr>
      <w:r>
        <w:rPr>
          <w:rFonts w:ascii="Times New Roman" w:cs="Times New Roman" w:eastAsia="Times New Roman" w:hAnsi="Times New Roman"/>
          <w:sz w:val="20"/>
          <w:szCs w:val="20"/>
          <w:color w:val="231F20"/>
        </w:rPr>
        <w:t>While to date, we do not believe such identified cybersecurity incidents have been material to us, including to our reputation or business operations, or had a material financial impact on us, we cannot assure you that such incidents or future cyber-incidents will not expose us to material liability. Security could be compromised and confidential information, such as customer credit card numbers or account information, employee information, or other personally identifiable information that we or our vendors collect, transmit, or store, could be misappropriated or system disruptions could occur. In addition, cyber-attacks such as ransomware or phishing attacks could lock us out of our information systems and disrupt our operations. We may not have the resources or technical sophistication to anticipate or prevent rapidly evolving types of cyber-attacks. Attacks may be targeted at us, our customers, our employees, our vendors, or others who have entrusted us with information. Actual or anticipated attacks may cause us to incur increasing costs, including costs to deploy additional personnel and protection technologies, train employees, and engage third-party experts and consultants. Advances in computer capabilities, including as a result of artificial intelligence ("AI"), supercomputing, new technological discoveries, or other developments may result in the breach or compromise of the technology used or maintained by us to protect transactions or other sensitive data. In addition, data and security breaches could also occur as a result of systems misconfigurations as well as non-technical issues, such as intentional or inadvertent breaches by our employees or by persons with whom we have commercial relationships, that result in the unauthorized release or availability of personal or confidential information. Additionally, it may take considerable time for us to investigate and evaluate the full impact of cybersecurity incidents, particularly for sophisticated or widespread attacks. These factors may inhibit our ability to provide prompt, full, and/or reliable information about the incident to our customers, partners, regulators, and the public. Any compromise or breach of our or our vendors’ computer network security could result in a violation of applicable privacy and other laws, costly investigations, litigation, including class actions, and notification, as well as potential regulatory or other actions by governmental agencies and harm to our brand, business, and results of operations. As a result of any of the foregoing, we could experience adverse publicity, loss of sales, the cost of remedial measures, including substantial legal fees, and significant expenditures to reimburse third parties for damages, each of which could adversely impact our results of operations. While we maintain cyber and crime insurance, any such insurance may not be sufficient to cover actual losses, may not apply to the circumstances relating to any particular loss or incident, or may become materially more costly over time.</w:t>
      </w:r>
    </w:p>
    <w:p>
      <w:pPr>
        <w:sectPr>
          <w:pgSz w:w="11880" w:h="15480" w:orient="portrait"/>
          <w:cols w:equalWidth="0" w:num="1">
            <w:col w:w="9360"/>
          </w:cols>
          <w:pgMar w:left="1260" w:top="88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9360"/>
          </w:cols>
          <w:pgMar w:left="1260" w:top="880" w:right="1260" w:bottom="0" w:gutter="0" w:footer="0" w:header="0"/>
          <w:type w:val="continuous"/>
        </w:sectPr>
      </w:pPr>
    </w:p>
    <w:bookmarkStart w:id="27" w:name="page28"/>
    <w:bookmarkEnd w:id="27"/>
    <w:p>
      <w:pPr>
        <w:jc w:val="both"/>
        <w:ind w:right="160" w:firstLine="490"/>
        <w:spacing w:after="0" w:line="260" w:lineRule="auto"/>
        <w:rPr>
          <w:sz w:val="20"/>
          <w:szCs w:val="20"/>
          <w:color w:val="auto"/>
        </w:rPr>
      </w:pPr>
      <w:r>
        <w:rPr>
          <w:rFonts w:ascii="Times New Roman" w:cs="Times New Roman" w:eastAsia="Times New Roman" w:hAnsi="Times New Roman"/>
          <w:sz w:val="19"/>
          <w:szCs w:val="19"/>
          <w:color w:val="231F20"/>
        </w:rPr>
        <w:t>The techniques used by criminals to obtain unauthorized access to sensitive data change frequently and often cannot be recognized until launched against a target. Accordingly, we or our vendors may not be able to anticipate these frequently changing techniques or implement adequate preventive measures for all of them. Failure by us or our vendors to comply with data security requirements, including the CCPA’s (as modified by the CPRA)</w:t>
      </w:r>
    </w:p>
    <w:p>
      <w:pPr>
        <w:spacing w:after="0" w:line="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231F20"/>
        </w:rPr>
        <w:t>“reasonable security” requirement in light of the private right of action, or rectify a security issue may result in class action litigation, fines, and the imposition of restrictions on our ability to accept payment cards, which could adversely affect our operations. We cannot assure you that we or our vendors will be able to satisfy the Payment Card Industry (“PCI”) Data Security Standard (“PCI DSS”). In addition, PCI is controlled by a limited number of vendors that have the ability to impose changes in fee structures and operational requirements without negotiation. Such changes in fees and operational requirements may result in our failure to comply with PCI DSS, as well as significant unanticipated expenses. Any unauthorized access into our customers’ or employees’ sensitive information, or other data handled by or on behalf of us, even if we are compliant with industry security standards, could put us at a competitive disadvantage, result in deterioration of our customers’ or employees’ confidence in us, and subject us to potential litigation, liability, fines, and penalties and consent decrees, which could require us to expend significant resources related to remediation or result in a disruption of our operations, any of which could have a material adverse effect on our business, financial condition, and results of operations.</w:t>
      </w:r>
    </w:p>
    <w:p>
      <w:pPr>
        <w:spacing w:after="0" w:line="33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our information systems or infrastructure or those of our vendors fail to perform as designed or are interrupted for a significant period of time, our business could be adversely affected.</w:t>
      </w:r>
    </w:p>
    <w:p>
      <w:pPr>
        <w:spacing w:after="0" w:line="49"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31F20"/>
        </w:rPr>
        <w:t>The efficient operation of our business is dependent on our information systems and those of our vendors. In particular, we rely on our information systems to effectively manage our financial and operational data, to maintain our in-stock positions, and to transact the sale of our products in our pet care centers and online. The failure of our information systems or those of our vendors to perform as designed, the loss of data, or any interruption of our information systems or those of our vendors for an extended period of time could disrupt our business.</w:t>
      </w:r>
    </w:p>
    <w:p>
      <w:pPr>
        <w:spacing w:after="0" w:line="197"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Our operations also depend on our ability to maintain and protect the computer systems we use to manage our purchase orders, pet care center inventory levels, web applications, accounting functions, and other critical aspects of our business. Our systems and those of our vendors are vulnerable to damage from extreme weather, fire, floods, earthquakes, power loss, telecommunications failures, terrorist and cyber-attacks, employee error, and similar events. Our disaster recovery planning and those of our vendors may not be sufficient to adequately respond to any such events. In addition, we may have inadequate insurance coverage to compensate for any related losses and expenses. Any of these events could damage our reputation, disrupt our business, supply chain, or sales, and be expensive to remedy.</w:t>
      </w:r>
    </w:p>
    <w:p>
      <w:pPr>
        <w:spacing w:after="0" w:line="20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We continue to invest in our information systems and IT infrastructure. Enhancement to or replacement of our major financial or operational information systems could have a significant impact on our ability to conduct our business operations and increase our risk of loss resulting from disruptions of normal operating processes and procedures that may occur during the implementation of new information systems. It may also require us to divest resources to ensure that implementation is successful. We can make no assurances that the costs of investments in our information systems will not exceed estimates, that the systems will be implemented without material disruption, or that the systems will be as beneficial as predicted. If any of these events occur, our results of operations could be adversely affected.</w:t>
      </w:r>
    </w:p>
    <w:p>
      <w:pPr>
        <w:spacing w:after="0" w:line="322"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Negative publicity arising from claims that we do not properly care for animals we handle or sell could adversely affect how we are perceived by the public and reduce our sales and profitability.</w:t>
      </w:r>
    </w:p>
    <w:p>
      <w:pPr>
        <w:spacing w:after="0" w:line="49"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From time to time, we receive claims or complaints alleging that we do not properly care for some of the pets we handle or for companion animals we handle and sell, which may include dogs, cats, birds, fish, reptiles, and other small animals. Deaths, illnesses, or injuries sometimes occur while animals are in our care. As a result, we may be subject to claims that our animal care practices, including grooming, training, veterinary, and other services, or the related training of our associates or handling of animals by them, do not provide the proper level of care. Any such claims or complaints, as well as any related news reports or reports on social media, even if inaccurate or untrue, could cause negative publicity, which in turn could harm our business and have a material adverse effect on our results of operations. In addition, legislative or regulatory initiatives in certain jurisdictions restricting the retail sale of pets, could expand to additional markets, and if adopted at scale, could adversely affect our sales, operations, and financial results.</w:t>
      </w:r>
    </w:p>
    <w:p>
      <w:pPr>
        <w:sectPr>
          <w:pgSz w:w="11880" w:h="15480" w:orient="portrait"/>
          <w:cols w:equalWidth="0" w:num="1">
            <w:col w:w="9360"/>
          </w:cols>
          <w:pgMar w:left="1260" w:top="88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9360"/>
          </w:cols>
          <w:pgMar w:left="1260" w:top="880" w:right="1260" w:bottom="0" w:gutter="0" w:footer="0" w:header="0"/>
          <w:type w:val="continuous"/>
        </w:sectPr>
      </w:pPr>
    </w:p>
    <w:bookmarkStart w:id="28" w:name="page29"/>
    <w:bookmarkEnd w:id="28"/>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international operations and evolving foreign trade policy may result in additional market risks, which may adversely affect our business.</w:t>
      </w:r>
    </w:p>
    <w:p>
      <w:pPr>
        <w:spacing w:after="0" w:line="49"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As our international operations grow, they may require greater management and financial resources. International operations require the integration of personnel with varying cultural and business backgrounds and an understanding of the relevant differences in the cultural, legal, and regulatory environments. Our results may be increasingly affected by the risks of our international activities, including:</w:t>
      </w:r>
    </w:p>
    <w:p>
      <w:pPr>
        <w:spacing w:after="0" w:line="88" w:lineRule="exact"/>
        <w:rPr>
          <w:sz w:val="20"/>
          <w:szCs w:val="20"/>
          <w:color w:val="auto"/>
        </w:rPr>
      </w:pPr>
    </w:p>
    <w:p>
      <w:pPr>
        <w:ind w:left="980" w:right="320" w:hanging="490"/>
        <w:spacing w:after="0" w:line="276"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challenges anticipating or responding to the impact that local culture and market forces may have on local consumer preferences and trends;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fluctuations in currency exchanges rates;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international staffing and employment issues;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imposition of taxes, duties, tariffs, or other trade barriers;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shipping or customs delays;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greater difficulty in utilizing and enforcing our intellectual property rights;</w:t>
      </w:r>
    </w:p>
    <w:p>
      <w:pPr>
        <w:spacing w:after="0" w:line="133" w:lineRule="exact"/>
        <w:rPr>
          <w:rFonts w:ascii="Arial" w:cs="Arial" w:eastAsia="Arial" w:hAnsi="Arial"/>
          <w:sz w:val="20"/>
          <w:szCs w:val="20"/>
          <w:color w:val="231F20"/>
        </w:rPr>
      </w:pPr>
    </w:p>
    <w:p>
      <w:pPr>
        <w:ind w:left="980" w:right="140" w:hanging="490"/>
        <w:spacing w:after="0" w:line="276"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burden of complying with foreign laws, including regulatory regimes, tax laws, privacy laws, labor and employment laws, and financial accounting standards;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political and economic instability and developments;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issues or disputes arising with our joint venture partners, if any, in such operations; and</w:t>
      </w:r>
    </w:p>
    <w:p>
      <w:pPr>
        <w:spacing w:after="0" w:line="133" w:lineRule="exact"/>
        <w:rPr>
          <w:rFonts w:ascii="Arial" w:cs="Arial" w:eastAsia="Arial" w:hAnsi="Arial"/>
          <w:sz w:val="20"/>
          <w:szCs w:val="20"/>
          <w:color w:val="231F20"/>
        </w:rPr>
      </w:pPr>
    </w:p>
    <w:p>
      <w:pPr>
        <w:ind w:left="980" w:right="260" w:hanging="490"/>
        <w:spacing w:after="0" w:line="252" w:lineRule="auto"/>
        <w:tabs>
          <w:tab w:leader="none" w:pos="98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risk that a health epidemic, pandemic or similar outbreak, or natural disaster or extreme weather event causes disruptions in any country where we have, or rely on, significant employee presence, facilities, or critical operations, thereby impairing our ability to manage day-to-day operations and service our customers, increasing our costs of operations, and resulting in potential losses in revenue.</w:t>
      </w:r>
    </w:p>
    <w:p>
      <w:pPr>
        <w:spacing w:after="0" w:line="193"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Moreover, our products are sourced from a wide variety of vendors, including from vendors overseas, such as China. In addition, some of the products that we purchase from vendors in the United States also depend, in whole or in part, on vendors located outside the U.S. There continues to be significant uncertainty regarding the future of international trade agreements and ultimately the United States’ consistent position on international trade. For example, the U.S. government has threatened to undertake a number of actions relating to trade with Mexico, including the closure of the border and has imposed tariffs on goods imported into the United States from Mexico, and Canada. In addition, the U.S. government has issued sanctions on Chinese companies, raised tariffs, and during 2025 imposed new tariffs on a wide range of imports of Chinese products and may impose additional tariffs in the future. Moreover, recent U.S. tariffs imposed or threatened to be imposed on China, Mexico, Canada, and other countries and any retaliatory actions taken by such countries have resulted in and are expected to continue to result in us incurring additional costs to procure a portion of the merchandise we offer. While we take steps to mitigate or avoid these increased costs and disruptions, such as through selectively raising prices on certain products or altering sourcing, our ability to do so may be limited by competitive pressures, customer acceptance, and operational and supply chain constraints, especially in the short term. Additional trade restrictions, including sanctions, tariffs, quotas, embargoes, safeguards, border shutdowns, and customs restrictions, could further increase the cost or reduce the supply of products available to us and to our vendors based in the United States and may require us to modify our supply chain organization or other current business practices or raise prices further, any of which could harm our business, financial condition, results of operations, and competitive position.</w:t>
      </w:r>
    </w:p>
    <w:p>
      <w:pPr>
        <w:spacing w:after="0" w:line="326"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quarterly operating results may fluctuate due to the timing of expenses, new pet care center openings, pet care center closures, and other factors.</w:t>
      </w:r>
    </w:p>
    <w:p>
      <w:pPr>
        <w:spacing w:after="0" w:line="4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Our expansion plans, including the timing of new and remodeled pet care centers and veterinary hospitals, and related pre-opening costs, the amount of net sales contributed by new and existing pet care centers, and the timing of and estimated costs associated with pet care center closings or relocations, may cause our quarterly results of operations to fluctuate. Further, new pet care centers and service offerings tend to experience higher payroll, advertising, and other store-level expenses as a percentage of net sales than more mature pet care centers, and such openings also often contribute to lower pet care center operating margins until those pet care centers mature, which may result in quarterly fluctuations in operating results. Quarterly operating results are not necessarily accurate predictors of long-term performance.</w:t>
      </w:r>
    </w:p>
    <w:p>
      <w:pPr>
        <w:sectPr>
          <w:pgSz w:w="11880" w:h="15480" w:orient="portrait"/>
          <w:cols w:equalWidth="0" w:num="1">
            <w:col w:w="9340"/>
          </w:cols>
          <w:pgMar w:left="1260" w:top="880" w:right="1280" w:bottom="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9340"/>
          </w:cols>
          <w:pgMar w:left="1260" w:top="880" w:right="1280" w:bottom="0" w:gutter="0" w:footer="0" w:header="0"/>
          <w:type w:val="continuous"/>
        </w:sectPr>
      </w:pPr>
    </w:p>
    <w:bookmarkStart w:id="29" w:name="page30"/>
    <w:bookmarkEnd w:id="29"/>
    <w:p>
      <w:pPr>
        <w:ind w:right="40" w:firstLine="490"/>
        <w:spacing w:after="0" w:line="277" w:lineRule="auto"/>
        <w:rPr>
          <w:sz w:val="20"/>
          <w:szCs w:val="20"/>
          <w:color w:val="auto"/>
        </w:rPr>
      </w:pPr>
      <w:r>
        <w:rPr>
          <w:rFonts w:ascii="Times New Roman" w:cs="Times New Roman" w:eastAsia="Times New Roman" w:hAnsi="Times New Roman"/>
          <w:sz w:val="20"/>
          <w:szCs w:val="20"/>
          <w:color w:val="231F20"/>
        </w:rPr>
        <w:t>Quarterly operating results may also vary depending on a number of factors, many of which are outside of our control, including:</w:t>
      </w:r>
    </w:p>
    <w:p>
      <w:pPr>
        <w:spacing w:after="0" w:line="64" w:lineRule="exact"/>
        <w:rPr>
          <w:sz w:val="20"/>
          <w:szCs w:val="20"/>
          <w:color w:val="auto"/>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our pricing policies or those of our competitors;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our sales and channels mix and the relevant gross margins of the products and services sold;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the hiring and retention of key personnel;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wage, cost, and inflationary pressures;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fluctuations in claims for which we are self-insured;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fuel prices or electrical rates;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related to acquisitions of businesses;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economic factors, including new or increased tariffs or other trade restrictions.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Pet consumables safety, quality, and health concerns could adversely affect our business.</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We could be adversely affected if consumers lose confidence in the safety and quality of our owned brand or vendor-supplied consumable pet products and supplies. Adverse publicity about these types of concerns, whether valid or not, may discourage consumers from buying the products in our locations or cause vendor production and delivery disruptions. The actual or perceived sale of contaminated pet consumables by our vendors or us could result in product liability claims against our vendors or us and a loss of consumer confidence, which could have an adverse effect on our sales and operations. In addition, if our products are alleged to pose a risk of injury or illness, or if they are alleged to have been mislabeled, misbranded, or adulterated, or to otherwise be in violation of governmental regulations, we may be subject to fines or litigation costs, and may need to find alternate ingredients for our products, delay production of our products, or discard or otherwise dispose of our products, which could adversely affect our results of operations. If this occurs after the affected product has been distributed, we may need to withdraw or recall the affected product. Given the difficulty in converting pet food customers, if we lose customers due to a loss of confidence in safety or quality, it may be difficult to reacquire such customers.</w:t>
      </w:r>
    </w:p>
    <w:p>
      <w:pPr>
        <w:spacing w:after="0" w:line="326" w:lineRule="exact"/>
        <w:rPr>
          <w:sz w:val="20"/>
          <w:szCs w:val="20"/>
          <w:color w:val="auto"/>
        </w:rPr>
      </w:pPr>
    </w:p>
    <w:p>
      <w:pPr>
        <w:ind w:right="260"/>
        <w:spacing w:after="0" w:line="305" w:lineRule="auto"/>
        <w:rPr>
          <w:sz w:val="20"/>
          <w:szCs w:val="20"/>
          <w:color w:val="auto"/>
        </w:rPr>
      </w:pPr>
      <w:r>
        <w:rPr>
          <w:rFonts w:ascii="Times New Roman" w:cs="Times New Roman" w:eastAsia="Times New Roman" w:hAnsi="Times New Roman"/>
          <w:sz w:val="19"/>
          <w:szCs w:val="19"/>
          <w:b w:val="1"/>
          <w:bCs w:val="1"/>
          <w:i w:val="1"/>
          <w:iCs w:val="1"/>
          <w:color w:val="231F20"/>
        </w:rPr>
        <w:t>Restrictions imposed in reaction to outbreaks of animal diseases or health epidemics, pandemics, and similar outbreaks, could have a material adverse effect on our business, financial condition, and results of operations.</w:t>
      </w:r>
    </w:p>
    <w:p>
      <w:pPr>
        <w:spacing w:after="0" w:line="25"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If animal diseases, such as mad cow disease, foot-and-mouth disease, or highly pathogenic avian influenza, also known as “bird flu,” impact the availability of the protein-based ingredients our vendors use in products, our vendors may be required to locate alternative sources for protein-based ingredients. Those sources may not be available to sustain our sales volumes, may be costlier, and may affect the quality and nutritional value of our products. If outbreaks of mad cow disease, foot-and-mouth disease, bird flu, or any other animal disease, or the regulation or publicity resulting therefrom impacts the cost of the protein-based ingredients we have in our products, or the cost of the alternative protein-based ingredients necessary for our products as compared to our current costs, we may be required to increase the prices of our products to avoid margin deterioration. However, we may not be able to charge higher prices for our products without negatively impacting future sales volumes.</w:t>
      </w:r>
    </w:p>
    <w:p>
      <w:pPr>
        <w:spacing w:after="0" w:line="86"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The Company faces risks related to outbreaks of communicable diseases among pets including, but not limited to, canine parvo virus, kennel cough, leptospirosis, feline and canine distemper and canine influenza virus. A widespread outbreak of any communicable disease can cause decreased customer demand for the Company’s grooming, training, and veterinary services as customers avoid public spaces with other pets in order to avoid contracting the applicable disease. The future impact of any such outbreak of a communicable disease is difficult to predict and dependent on the severity, magnitude and duration of the outbreak.</w:t>
      </w:r>
    </w:p>
    <w:p>
      <w:pPr>
        <w:sectPr>
          <w:pgSz w:w="11880" w:h="15480" w:orient="portrait"/>
          <w:cols w:equalWidth="0" w:num="1">
            <w:col w:w="9340"/>
          </w:cols>
          <w:pgMar w:left="1260" w:top="88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9340"/>
          </w:cols>
          <w:pgMar w:left="1260" w:top="880" w:right="1280" w:bottom="0" w:gutter="0" w:footer="0" w:header="0"/>
          <w:type w:val="continuous"/>
        </w:sectPr>
      </w:pPr>
    </w:p>
    <w:bookmarkStart w:id="30" w:name="page31"/>
    <w:bookmarkEnd w:id="30"/>
    <w:p>
      <w:pPr>
        <w:ind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Fluctuations in the prices and availability of certain commodities, such as grains and meat protein, could materially adversely affect our operating results.</w:t>
      </w:r>
    </w:p>
    <w:p>
      <w:pPr>
        <w:spacing w:after="0" w:line="30" w:lineRule="exact"/>
        <w:rPr>
          <w:sz w:val="20"/>
          <w:szCs w:val="20"/>
          <w:color w:val="auto"/>
        </w:rPr>
      </w:pPr>
    </w:p>
    <w:p>
      <w:pPr>
        <w:ind w:firstLine="490"/>
        <w:spacing w:after="0" w:line="220" w:lineRule="auto"/>
        <w:rPr>
          <w:sz w:val="20"/>
          <w:szCs w:val="20"/>
          <w:color w:val="auto"/>
        </w:rPr>
      </w:pPr>
      <w:r>
        <w:rPr>
          <w:rFonts w:ascii="Times New Roman" w:cs="Times New Roman" w:eastAsia="Times New Roman" w:hAnsi="Times New Roman"/>
          <w:sz w:val="20"/>
          <w:szCs w:val="20"/>
          <w:color w:val="231F20"/>
        </w:rPr>
        <w:t>The pet food and supplies industry is subject to risks related to increases in the prices and availability of certain commodities used in the production of certain pet food and other pet-related products, specifically seed, wheat, and rice, as well as other materials that are used in the production of certain pet accessories. Additionally, increased human and/or pet consumption or population increases may potentially limit the supply of or increase prices for certain meat proteins, many of which are used in animal feed. Throughout 2025, costs of certain commodities continued to increase due to increased fuel prices, heightened transportation costs, tariffs and other trade restrictions, and general inflationary pressures, and at times we have resultingly observed increases in the costs we pay for certain vendor-supplied products. To help mitigate the impact of these cost increases, we have in the past implemented select price increases, which is consistent with our historical practice. However, our ability to pass on increased purchase costs both now and in the future is and will be significantly impacted by market conditions and competitive factors. If we are unable to pass on any increased purchase costs to customers, we would experience reduced margins and could experience decreased demand for our products and servicess, which could have a material adverse effect on our business, financial condition, and results of operations.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real estate leases generally obligate us for long periods, which subjects us to various financial risks.</w:t>
      </w:r>
    </w:p>
    <w:p>
      <w:pPr>
        <w:spacing w:after="0" w:line="97" w:lineRule="exact"/>
        <w:rPr>
          <w:sz w:val="20"/>
          <w:szCs w:val="20"/>
          <w:color w:val="auto"/>
        </w:rPr>
      </w:pPr>
    </w:p>
    <w:p>
      <w:pPr>
        <w:ind w:right="140" w:firstLine="490"/>
        <w:spacing w:after="0" w:line="222" w:lineRule="auto"/>
        <w:rPr>
          <w:sz w:val="20"/>
          <w:szCs w:val="20"/>
          <w:color w:val="auto"/>
        </w:rPr>
      </w:pPr>
      <w:r>
        <w:rPr>
          <w:rFonts w:ascii="Times New Roman" w:cs="Times New Roman" w:eastAsia="Times New Roman" w:hAnsi="Times New Roman"/>
          <w:sz w:val="20"/>
          <w:szCs w:val="20"/>
          <w:color w:val="231F20"/>
        </w:rPr>
        <w:t>We lease all of our pet care center and distribution center locations generally for long terms. While we have the right to terminate some of our leases under specified conditions by making specified payments, we may not be able to terminate a particular lease if or when we would like to do so. If we decide to close pet care centers, we are generally required to continue paying rent and operating expenses for the balance of the lease term, or to pay to exercise rights to terminate, and the performance of any of these obligations may be expensive. When we assign or sublease vacated locations, we may remain liable for the lease obligations if the assignee or sublessee does not perform. In addition, when leases for the pet care centers in our ongoing operations expire, we may be unable to negotiate renewals, either on commercially acceptable terms, or at all, which could cause us to close pet care centers. Accordingly, we are subject to the risks associated with leasing real estate, which could have a material adverse effect on our operating results.</w:t>
      </w:r>
    </w:p>
    <w:p>
      <w:pPr>
        <w:spacing w:after="0" w:line="63" w:lineRule="exact"/>
        <w:rPr>
          <w:sz w:val="20"/>
          <w:szCs w:val="20"/>
          <w:color w:val="auto"/>
        </w:rPr>
      </w:pPr>
    </w:p>
    <w:p>
      <w:pPr>
        <w:ind w:firstLine="490"/>
        <w:spacing w:after="0" w:line="222" w:lineRule="auto"/>
        <w:rPr>
          <w:sz w:val="20"/>
          <w:szCs w:val="20"/>
          <w:color w:val="auto"/>
        </w:rPr>
      </w:pPr>
      <w:r>
        <w:rPr>
          <w:rFonts w:ascii="Times New Roman" w:cs="Times New Roman" w:eastAsia="Times New Roman" w:hAnsi="Times New Roman"/>
          <w:sz w:val="20"/>
          <w:szCs w:val="20"/>
          <w:color w:val="231F20"/>
        </w:rPr>
        <w:t>Further, the success of our pet care centers depends on a number of factors, including the sustained success of the commercial area where the pet care center is located, consumer demographics, and consumer shopping habits and patterns. Changes in consumer shopping habits and patterns, reduced customer traffic in the commercial areas where our pet care centers are located, financial difficulties of our landlords, anchor tenants, or a significant number of other retailers, and shopping center vacancies or closures could impact the profitability of our pet care centers and increase the likelihood that our landlords fail to fulfill their obligations and conditions under our lease agreements. While we have certain remedies and protections under our lease agreements, the loss of business that could result if a shopping center should close or if customer traffic were to significantly decline as a result of lost tenants or improper care of the facilities or due to macroeconomic effects could have a material adverse effect on our business, financial condition, and results of operations.</w:t>
      </w:r>
    </w:p>
    <w:p>
      <w:pPr>
        <w:spacing w:after="0" w:line="303"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0"/>
          <w:szCs w:val="20"/>
          <w:b w:val="1"/>
          <w:bCs w:val="1"/>
          <w:i w:val="1"/>
          <w:iCs w:val="1"/>
          <w:color w:val="231F20"/>
        </w:rPr>
        <w:t>Failure to attract and retain quality employees and experienced management personnel could adversely affect our performance.</w:t>
      </w:r>
    </w:p>
    <w:p>
      <w:pPr>
        <w:spacing w:after="0" w:line="49" w:lineRule="exact"/>
        <w:rPr>
          <w:sz w:val="20"/>
          <w:szCs w:val="20"/>
          <w:color w:val="auto"/>
        </w:rPr>
      </w:pPr>
    </w:p>
    <w:p>
      <w:pPr>
        <w:ind w:right="40" w:firstLine="490"/>
        <w:spacing w:after="0" w:line="219" w:lineRule="auto"/>
        <w:rPr>
          <w:sz w:val="20"/>
          <w:szCs w:val="20"/>
          <w:color w:val="auto"/>
        </w:rPr>
      </w:pPr>
      <w:r>
        <w:rPr>
          <w:rFonts w:ascii="Times New Roman" w:cs="Times New Roman" w:eastAsia="Times New Roman" w:hAnsi="Times New Roman"/>
          <w:sz w:val="20"/>
          <w:szCs w:val="20"/>
          <w:color w:val="231F20"/>
        </w:rPr>
        <w:t>Our performance depends on recruiting, developing, training, and retaining top talent in our support centers, partners who are capable sales associates in large numbers in our pet care centers, experienced personnel in our distribution centers, and experienced management personnel. Our ability to meet our labor needs while controlling labor costs is subject to external factors such as unemployment levels, prevailing wage rates, minimum wage legislation, inflationary pressures, the availability of qualified persons in the markets where we operate, changing demographics, behavioral changes, health and other insurance costs, and governmental labor and employment requirements. We have in the past faced labor shortages at several of our distribution centers, which adversely affected our operations. We have also faced, and could continue to face, increased wage competition and costs across our business in recruiting and retaining top talent. In recent years, various legislative movements have sought to increase the federal minimum wage in the United States and the minimum wage in a number of individual states, some of which have been successful at the state level. As federal or state minimum wage rates increase, or market pressures upwardly impact prevailing competitive wage rates, we may need to increase not only the wage rates of our minimum wage partners but also the wages paid to our other hourly partners. If we fail to offer competitive wages, we could fail to recruit and retain top talent and face labor shortages or staffing issues, and the quality of our workforce could decline, causing our customer service to suffer, while increasing our wages could cause our earnings to decrease. Moreover, failure to achieve and maintain a talented workforce and leadership team, maintain a safe and inclusive environment or promote the well-being of our employees could affect our reputation and also result in lower performance and an inability to retain valuable employees. If we do not continue to attract, train, and retain quality associates and management personnel, our performance could be adversely affected.</w:t>
      </w:r>
    </w:p>
    <w:p>
      <w:pPr>
        <w:sectPr>
          <w:pgSz w:w="11880" w:h="15480" w:orient="portrait"/>
          <w:cols w:equalWidth="0" w:num="1">
            <w:col w:w="9340"/>
          </w:cols>
          <w:pgMar w:left="1260" w:top="88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9340"/>
          </w:cols>
          <w:pgMar w:left="1260" w:top="880" w:right="128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i w:val="1"/>
          <w:iCs w:val="1"/>
          <w:color w:val="231F20"/>
        </w:rPr>
        <w:t>Labor disputes may have an adverse effect on our operations.</w:t>
      </w:r>
    </w:p>
    <w:p>
      <w:pPr>
        <w:spacing w:after="0" w:line="120"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231F20"/>
        </w:rPr>
        <w:t>We are not currently party to a collective bargaining agreement with any of our employees. We have, however, experienced attempted union organizing campaigns in the past, and may continue to experience union organizing campaigns, which can be disruptive to our operations, increase our labor and operating costs, and decrease our operational flexibility. We cannot assure you that some or all of our employees will not become covered by a collective bargaining agreement or that we will not encounter labor conflicts or strikes. In addition, organized labor may benefit from new legislation or legal interpretations, as well as current or future unionization efforts among other large employers; we therefore cannot provide any assurance that we will not experience additional and/or successful union organization activity in the future. Any labor disruptions could have an adverse effect on our business or results of operations and could cause us to lose customers. Further, our responses to any union organizing efforts could negatively impact our reputation and have adverse effects on our business, including on our financial results.</w:t>
      </w:r>
    </w:p>
    <w:p>
      <w:pPr>
        <w:spacing w:after="0" w:line="329"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Claims under our insurance plans and policies may differ from our estimates, which could adversely affect our results of operations.</w:t>
      </w:r>
    </w:p>
    <w:p>
      <w:pPr>
        <w:spacing w:after="0" w:line="49"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231F20"/>
        </w:rPr>
        <w:t>We use a combination of insurance and self-insurance plans to provide coverage for potential liabilities for workers’ compensation, general liability, business interruption, property damage, directors’ and officers’ liability, vehicle liability, cybersecurity and criminal incidents that we suffer, and employee health-care benefits. Our insurance coverage may not be sufficient, and any insurance proceeds may not be timely paid to us. Moreover, as insurance premiums continue to increase, we cannot be certain that insurance will continue to be available to us on economically reasonable terms, or at all. In addition, liabilities associated with the risks that are retained by us are estimated, in part, by considering historical claims experience, demographic factors, severity factors, and other actuarial assumptions, and our business, financial condition, and results of operations may be adversely affected if these assumptions are incorrect.</w:t>
      </w:r>
    </w:p>
    <w:p>
      <w:pPr>
        <w:spacing w:after="0" w:line="3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Resistance from veterinarians to authorize prescriptions or attempts/efforts on their part to discourage pet owners from purchasing from us could cause our sales to decrease and could adversely affect our financial condition and results of operations.</w:t>
      </w:r>
    </w:p>
    <w:p>
      <w:pPr>
        <w:spacing w:after="0" w:line="6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The laws and regulations relating to the sale and delivery of prescription pet medications vary from state to state, but generally require that prescription pet medications be dispensed with authorization from a prescribing veterinarian. Some veterinarians may decide to resist providing our customers with a copy of their pet’s prescription or resist authorizing the prescription to the pharmacy staff of our fulfillment vendor, thereby effectively preventing us from filling such prescriptions under applicable law. Certain veterinarians may decide to discourage pet owners from purchasing from internet mail order pharmacies. If the number of veterinarians who refuse to authorize prescriptions to the pharmacy staff of our fulfillment vendor increases, or if veterinarians are successful in discouraging pet owners from purchasing from us, our sales could decrease and our financial condition and results of operations may be materially adversely affected.</w:t>
      </w:r>
    </w:p>
    <w:p>
      <w:pPr>
        <w:spacing w:after="0" w:line="326"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results may be adversely affected by serious disruptions or catastrophic events, including public health issues, geopolitical events, and severe weather.</w:t>
      </w:r>
    </w:p>
    <w:p>
      <w:pPr>
        <w:spacing w:after="0" w:line="49"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231F20"/>
        </w:rPr>
        <w:t>Geopolitical events, such as war or civil unrest in a country in which our vendors are located or dependent upon, or terrorist or military activities disrupting transportation, communication, or utility systems, local protests, and unrest and natural disasters, such as hurricanes, tornadoes, floods, earthquakes, wildfires, and other severe weather and climate conditions, whether occurring in the United States or abroad, particularly during peak seasonal periods, have disrupted and in the future could disrupt our operations or the operations of one or more of our vendors, in the affected areas, and damage or destroy one or more of our pet care centers or distribution centers located in the affected areas. Such events could also result in temporary or long-term supply chain disruptions, or cause increased transportation costs (whether due to fuel prices, fuel supply, or otherwise). For example, the ongoing conflicts in Ukraine and the Middle East have resulted, and could continue to result, in volatile commodity markets, supply chain disruptions, and increased costs for transportation, energy, packaging and raw materials and other input costs. Further, even if a severe weather event does not ultimately cause damage to any of our pet care centers or distribution centers, we expend significant efforts in anticipation of such event to protect the health and safety of our partners, guests, and the live animals that we sell and/or offer for adoption in the subject area. As a result of any such events, day-to-day operations, particularly our ability to receive products from our vendors or transport products to our pet care centers, could be adversely affected, or we could be required to close pet care</w:t>
      </w:r>
    </w:p>
    <w:p>
      <w:pPr>
        <w:sectPr>
          <w:pgSz w:w="11880" w:h="15480" w:orient="portrait"/>
          <w:cols w:equalWidth="0" w:num="1">
            <w:col w:w="9340"/>
          </w:cols>
          <w:pgMar w:left="1260" w:top="880" w:right="1280" w:bottom="0" w:gutter="0" w:footer="0" w:header="0"/>
        </w:sect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9340"/>
          </w:cols>
          <w:pgMar w:left="1260" w:top="880" w:right="1280" w:bottom="0" w:gutter="0" w:footer="0" w:header="0"/>
          <w:type w:val="continuous"/>
        </w:sectPr>
      </w:pPr>
    </w:p>
    <w:bookmarkStart w:id="32" w:name="page33"/>
    <w:bookmarkEnd w:id="32"/>
    <w:p>
      <w:pPr>
        <w:ind w:right="220"/>
        <w:spacing w:after="0" w:line="249" w:lineRule="auto"/>
        <w:rPr>
          <w:sz w:val="20"/>
          <w:szCs w:val="20"/>
          <w:color w:val="auto"/>
        </w:rPr>
      </w:pPr>
      <w:r>
        <w:rPr>
          <w:rFonts w:ascii="Times New Roman" w:cs="Times New Roman" w:eastAsia="Times New Roman" w:hAnsi="Times New Roman"/>
          <w:sz w:val="20"/>
          <w:szCs w:val="20"/>
          <w:color w:val="231F20"/>
        </w:rPr>
        <w:t>centers or distribution centers in the affected areas or in areas served by the affected distribution center. These factors have caused and could in the future cause consumer confidence and spending to decrease or otherwise become less predictable during the particular event. Further, these factors could result in increased volatility in the United States and the global economy, including financial markets. These or other occurrences could significantly impact our operating results and financial performance.</w:t>
      </w:r>
    </w:p>
    <w:p>
      <w:pPr>
        <w:spacing w:after="0" w:line="77"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A potential result of climate change is more frequent or more severe weather events or natural disasters. To the extent such weather events or natural disasters do become more frequent or severe, disruptions to our business, including store closures and/or damage, and our vendors and costs to repair damaged facilities or maintain or resume operations could increase. The long-term impacts of climate change, whether involving physical risks (such as extreme weather conditions or rising sea levels) or transition risks (such as regulatory or technology changes or increased operating costs, including the cost of insurance) could be widespread and unpredictable. These changes over time could also affect, for example, the availability and cost of certain products, insurance, commodities (including grains and proteins), and energy (including utilities), which in turn may impact our ability to procure those certain goods or services required for the operation of our business at the quantities and levels we require or on otherwise commercially reasonable terms.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Inventory loss and theft may negatively affect the business.</w:t>
      </w:r>
    </w:p>
    <w:p>
      <w:pPr>
        <w:spacing w:after="0" w:line="120"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31F20"/>
        </w:rPr>
        <w:t>Efficient management of assets and inventory is important to our business success and profitability. Some level of inventory loss or theft is an inherent cost of the retail business and can be caused by a number of factors, including error or misconduct by employees, customers, or vendors. However, if these incidents were to increase in frequency or severity, or if we were required to invest more heavily in security and maintenance efforts, our financial results could be negatively affected.</w:t>
      </w:r>
    </w:p>
    <w:p>
      <w:pPr>
        <w:spacing w:after="0" w:line="307"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Inflation has adversely impacted, and is expected to continue to adversely impact, our financial condition and results of operations.</w:t>
      </w:r>
    </w:p>
    <w:p>
      <w:pPr>
        <w:spacing w:after="0" w:line="159"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231F20"/>
        </w:rPr>
        <w:t>Inflation in the United States remained elevated throughout fiscal 2025. This is primarily believed to be the result of a multitude of factors, including elevated costs of product inputs and transportation costs, increased labor costs, and spending of excess savings, among other factors. Additionally, the imposition of tariffs on imports by the U.S. has resulted in higher input costs. We have experienced inflationary pressures in certain areas of our business, including with respect to employee wages and the cost of merchandise, and it has become increasingly difficult to mitigate such pressures through price increases. We cannot predict any future trends in the rate of inflation or associated increases in our operating costs and how that may impact our business. To the extent we are unable to recover higher operating costs resulting from inflation or otherwise mitigate the impact of such costs on our business, our revenues and gross margins could decrease, and our financial condition and results of operations could be adversely affected. Furthermore, inflation has resulted in, and may continue to result in, decreased customer spending on certain discretionary items, such as supplies and companion animal sales, which has adversely impacted our revenues and gross margins.</w:t>
      </w:r>
    </w:p>
    <w:p>
      <w:pPr>
        <w:spacing w:after="0" w:line="196"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20"/>
          <w:szCs w:val="20"/>
          <w:b w:val="1"/>
          <w:bCs w:val="1"/>
          <w:i w:val="1"/>
          <w:iCs w:val="1"/>
          <w:color w:val="231F20"/>
        </w:rPr>
        <w:t>We use artificial intelligence in our business, and challenges with properly managing its use could result in harm to our brand, reputation, business or customers, and adversely affect our results of operations.</w:t>
      </w:r>
    </w:p>
    <w:p>
      <w:pPr>
        <w:spacing w:after="0" w:line="175" w:lineRule="exact"/>
        <w:rPr>
          <w:sz w:val="20"/>
          <w:szCs w:val="20"/>
          <w:color w:val="auto"/>
        </w:rPr>
      </w:pPr>
    </w:p>
    <w:p>
      <w:pPr>
        <w:ind w:right="20" w:firstLine="720"/>
        <w:spacing w:after="0" w:line="274" w:lineRule="auto"/>
        <w:rPr>
          <w:sz w:val="20"/>
          <w:szCs w:val="20"/>
          <w:color w:val="auto"/>
        </w:rPr>
      </w:pPr>
      <w:r>
        <w:rPr>
          <w:rFonts w:ascii="Times New Roman" w:cs="Times New Roman" w:eastAsia="Times New Roman" w:hAnsi="Times New Roman"/>
          <w:sz w:val="19"/>
          <w:szCs w:val="19"/>
          <w:color w:val="231F20"/>
        </w:rPr>
        <w:t>We are implementing the use of AI solutions, including machine learning and generative AI tools (both internal and external) that collect, aggregate, transcribe, and analyze data to assist in the development of our services and products and in the use of internal tools that support our business. These applications may become increasingly important in our operations over time. This emerging technology presents a number of legal, compliance, privacy, security, and ethical risks inherent in its use. AI algorithms are based on machine learning and predictive analytics, which can create accuracy issues, unintended biases, and discriminatory outcomes that could harm our brand, reputation, business, or customers. Additionally, no assurance can be made that the usage of AI will assist us in being more efficient or offset the costs of its development and implementation. Further, dependence on AI without adequate safeguards to make certain business decisions may introduce additional operational vulnerabilities by producing inaccurate outcomes, recommendations, or other suggestions based on flaws in the underlying data or other unintended results. Our competitors or other third parties may incorporate AI into their business, services, and products more rapidly or more successfully than us, which could hinder our ability to compete effectively and adversely affect our results of operations. Implementing the use of AI successfully, ethically and as intended will require significant resources. In addition, the use of AI may increase regulatory, cybersecurity, intellectual property,</w:t>
      </w:r>
    </w:p>
    <w:p>
      <w:pPr>
        <w:sectPr>
          <w:pgSz w:w="11880" w:h="15480" w:orient="portrait"/>
          <w:cols w:equalWidth="0" w:num="1">
            <w:col w:w="9360"/>
          </w:cols>
          <w:pgMar w:left="1260" w:top="880" w:right="1260" w:bottom="0" w:gutter="0" w:footer="0" w:header="0"/>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9360"/>
          </w:cols>
          <w:pgMar w:left="1260" w:top="880" w:right="1260" w:bottom="0" w:gutter="0" w:footer="0" w:header="0"/>
          <w:type w:val="continuous"/>
        </w:sectPr>
      </w:pPr>
    </w:p>
    <w:bookmarkStart w:id="33" w:name="page34"/>
    <w:bookmarkEnd w:id="33"/>
    <w:p>
      <w:pPr>
        <w:ind w:right="60"/>
        <w:spacing w:after="0" w:line="262" w:lineRule="auto"/>
        <w:rPr>
          <w:sz w:val="20"/>
          <w:szCs w:val="20"/>
          <w:color w:val="auto"/>
        </w:rPr>
      </w:pPr>
      <w:r>
        <w:rPr>
          <w:rFonts w:ascii="Times New Roman" w:cs="Times New Roman" w:eastAsia="Times New Roman" w:hAnsi="Times New Roman"/>
          <w:sz w:val="20"/>
          <w:szCs w:val="20"/>
          <w:color w:val="231F20"/>
        </w:rPr>
        <w:t>consumer protection, discrimination, and data privacy risks, such as intended, unintended, or inadvertent transmission of proprietary or sensitive information, infringement on third parties' intellectual property rights, or discrimination against job applicants. The technologies underlying AI and their use cases are rapidly developing, and it is not possible to predict all of the legal, operational or technological risks related to the use of AI. While new AI initiatives, laws, and regulations are emerging and evolving, they have largely been implemented at the state and local level and what they ultimately will look like in the aggregate remains uncertain, and our obligation to comply with them could entail significant costs, negatively affect our business, or limit our ability to incorporate certain AI capabilities into our business.</w:t>
      </w:r>
    </w:p>
    <w:p>
      <w:pPr>
        <w:spacing w:after="0" w:line="206" w:lineRule="exact"/>
        <w:rPr>
          <w:sz w:val="20"/>
          <w:szCs w:val="20"/>
          <w:color w:val="auto"/>
        </w:rPr>
      </w:pPr>
    </w:p>
    <w:p>
      <w:pPr>
        <w:ind w:right="600"/>
        <w:spacing w:after="0" w:line="294" w:lineRule="auto"/>
        <w:rPr>
          <w:sz w:val="20"/>
          <w:szCs w:val="20"/>
          <w:color w:val="auto"/>
        </w:rPr>
      </w:pPr>
      <w:r>
        <w:rPr>
          <w:rFonts w:ascii="Times New Roman" w:cs="Times New Roman" w:eastAsia="Times New Roman" w:hAnsi="Times New Roman"/>
          <w:sz w:val="20"/>
          <w:szCs w:val="20"/>
          <w:b w:val="1"/>
          <w:bCs w:val="1"/>
          <w:i w:val="1"/>
          <w:iCs w:val="1"/>
          <w:color w:val="231F20"/>
        </w:rPr>
        <w:t>We may not achieve some or all of the expected benefits of certain actions we have undertaken to enhance profitability and drive performance and such actions may adversely affect our business.</w:t>
      </w:r>
    </w:p>
    <w:p>
      <w:pPr>
        <w:spacing w:after="0" w:line="17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231F20"/>
        </w:rPr>
        <w:t>We have undertaken, and may undertake in the future, actions intended to enhance our profitability and drive performance. In late fiscal 2024 we began efforts to optimize our assortment and store labor model, and take costs out of all areas of our business in an effort to enhance profitability and drive performance. Implementation of any such actions may be costly and disruptive to our business, and we may not be able to obtain the anticipated cost savings and operational improvements within the projected timing or at all. Additionally, as a result of these actions, we may experience a loss of continuity, loss of accumulated knowledge and/or inefficiency, loss of key employees and/or other retention issues during transitional periods. These actions also require a significant amount of time and focus, which may divert attention from operating and growing our business. Moreover, projections of any cost savings or other benefits associated with these actions are based on current business operations and market dynamics, and could be significantly impacted by various factors, including but not limited to general economic conditions, future investment decisions, and the market environment.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Legal and Regulatory Matters</w:t>
      </w:r>
    </w:p>
    <w:p>
      <w:pPr>
        <w:spacing w:after="0" w:line="124"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Our operations are subject to extensive governmental regulation, and we may incur material liabilities under, or costs in order to comply with, existing or future laws and regulations. Our failure to comply with such laws and regulations may result in enforcements, recalls, and other adverse actions that could disrupt our operations and adversely affect our financial results.</w:t>
      </w:r>
    </w:p>
    <w:p>
      <w:pPr>
        <w:spacing w:after="0" w:line="74"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Our operations, including those of some of our vendors, are subject to federal, state, and local laws and regulations established by OSHA, the FDA, the USDA, the DEA, the U.S. Environmental Protection Agency, the Equal Employment Opportunity Commission, the National Labor Relations Board, the Federal Trade Commission ("FTC"), and by various other federal, state, local, and foreign authorities. These laws and regulations govern, among other things: our relationships with employees, including minimum wage requirements, overtime, terms and conditions of employment, working conditions, and citizenship requirements; the weights and measures of our products; the manufacturing and distribution of foods, drugs, and controlled substances intended for animal use; our businesses that provide veterinary services and pet insurance plans; the transportation, handling, and sale of small pets; emissions to air and water and the generation, handling, storage, discharge, transportation, disposal, and remediation of waste and hazardous materials; the processing, storage, distribution, safety, advertising, labeling, promotion, and import or export of our products; providing services to our customers; contracted services with various third-party providers; credit and debit card processing; the handling, security, protection, and use of personal information; and the licensing and certification of services. For more information regarding laws and regulations that we are subject to, please read “Business—Government Regulation.”</w:t>
      </w:r>
    </w:p>
    <w:p>
      <w:pPr>
        <w:spacing w:after="0" w:line="195" w:lineRule="exact"/>
        <w:rPr>
          <w:sz w:val="20"/>
          <w:szCs w:val="20"/>
          <w:color w:val="auto"/>
        </w:rPr>
      </w:pPr>
    </w:p>
    <w:p>
      <w:pPr>
        <w:ind w:right="20" w:firstLine="495"/>
        <w:spacing w:after="0" w:line="220" w:lineRule="auto"/>
        <w:rPr>
          <w:sz w:val="20"/>
          <w:szCs w:val="20"/>
          <w:color w:val="auto"/>
        </w:rPr>
      </w:pPr>
      <w:r>
        <w:rPr>
          <w:rFonts w:ascii="Times New Roman" w:cs="Times New Roman" w:eastAsia="Times New Roman" w:hAnsi="Times New Roman"/>
          <w:sz w:val="20"/>
          <w:szCs w:val="20"/>
          <w:color w:val="231F20"/>
        </w:rPr>
        <w:t>Violations of or liability under applicable laws and regulations may result in administrative, civil or criminal fines, penalties, or sanctions against us, revocation or modification of applicable permits, licenses, or authorizations, environmental, health and safety investigations or remedial activities, voluntary or involuntary product recalls, warning or untitled letters or cease and desist orders against operations that are not in compliance, and/or third-party liability claims against us, among other things. Such laws and regulations generally have become more stringent over time and may become more so in the future, and we expect to incur (directly, or indirectly through our outsourced private brand manufacturing partners) significant costs to comply with current or future laws and regulations or in any required product recalls. Some of these laws and regulations are subject to varying and uncertain interpretations, application, and enforcement by courts and regulatory authorities with broad discretion, which can mean that our efforts to maintain compliance in all jurisdictions are not always successful. Liabilities under, costs of compliance with, and the impacts on us of any alleged or determined non-compliance with any such laws and regulations could materially and adversely affect our business, reputation, financial condition, and results of operations. In addition, changes in the laws and regulations to which we are subject could impose significant</w:t>
      </w:r>
    </w:p>
    <w:p>
      <w:pPr>
        <w:sectPr>
          <w:pgSz w:w="11880" w:h="15480" w:orient="portrait"/>
          <w:cols w:equalWidth="0" w:num="1">
            <w:col w:w="9340"/>
          </w:cols>
          <w:pgMar w:left="1260" w:top="880" w:right="1280" w:bottom="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9340"/>
          </w:cols>
          <w:pgMar w:left="1260" w:top="880" w:right="1280" w:bottom="0" w:gutter="0" w:footer="0" w:header="0"/>
          <w:type w:val="continuous"/>
        </w:sectPr>
      </w:pPr>
    </w:p>
    <w:bookmarkStart w:id="34" w:name="page35"/>
    <w:bookmarkEnd w:id="34"/>
    <w:p>
      <w:pPr>
        <w:ind w:right="40"/>
        <w:spacing w:after="0" w:line="231" w:lineRule="auto"/>
        <w:rPr>
          <w:sz w:val="20"/>
          <w:szCs w:val="20"/>
          <w:color w:val="auto"/>
        </w:rPr>
      </w:pPr>
      <w:r>
        <w:rPr>
          <w:rFonts w:ascii="Times New Roman" w:cs="Times New Roman" w:eastAsia="Times New Roman" w:hAnsi="Times New Roman"/>
          <w:sz w:val="20"/>
          <w:szCs w:val="20"/>
          <w:color w:val="231F20"/>
        </w:rPr>
        <w:t>limitations and require changes to our business, which may increase our compliance expenses, make our business costlier and less efficient to conduct, and compromise our growth strategy. Although we routinely obtain broad indemnities from our vendors in respect of their products, we could be adversely affected if we were found not to be in compliance with applicable regulations and we were not made whole by our vendors.</w:t>
      </w:r>
    </w:p>
    <w:p>
      <w:pPr>
        <w:spacing w:after="0" w:line="183" w:lineRule="exact"/>
        <w:rPr>
          <w:sz w:val="20"/>
          <w:szCs w:val="20"/>
          <w:color w:val="auto"/>
        </w:rPr>
      </w:pPr>
    </w:p>
    <w:p>
      <w:pPr>
        <w:ind w:firstLine="495"/>
        <w:spacing w:after="0" w:line="220" w:lineRule="auto"/>
        <w:rPr>
          <w:sz w:val="20"/>
          <w:szCs w:val="20"/>
          <w:color w:val="auto"/>
        </w:rPr>
      </w:pPr>
      <w:r>
        <w:rPr>
          <w:rFonts w:ascii="Times New Roman" w:cs="Times New Roman" w:eastAsia="Times New Roman" w:hAnsi="Times New Roman"/>
          <w:sz w:val="20"/>
          <w:szCs w:val="20"/>
          <w:color w:val="231F20"/>
        </w:rPr>
        <w:t>Among other regulatory requirements, the FDA regulates the inclusion of specific claims in pet product labeling. For example, pet food products that are labeled or marketed with claims that may suggest that they are intended to treat or prevent disease in pets would potentially meet the statutory definitions of both a food and a drug. The FDA has issued guidance containing a list of specific factors it will consider in determining whether to initiate an enforcement action against such products if they do not comply with the regulatory requirements applicable to drugs. These factors include, among other things, whether the product is only made available through or under the direction of a veterinarian and does not present a known safety risk when used as labeled. While we believe that we market our products in compliance with the policy articulated in the FDA’s guidance and in other claim-specific guidance, the FDA may disagree or may classify some of our products differently than we do, and may impose more stringent regulations which could lead to alleged regulatory violations, enforcement actions, and/or product recalls. In addition, we may produce new products in the future that may be subject to FDA pre-market review before we can market and sell such products. Our distribution centers are also subject to periodic inspection by the FDA and other governmental authorities.</w:t>
      </w:r>
    </w:p>
    <w:p>
      <w:pPr>
        <w:spacing w:after="0" w:line="190" w:lineRule="exact"/>
        <w:rPr>
          <w:sz w:val="20"/>
          <w:szCs w:val="20"/>
          <w:color w:val="auto"/>
        </w:rPr>
      </w:pPr>
    </w:p>
    <w:p>
      <w:pPr>
        <w:ind w:right="40" w:firstLine="495"/>
        <w:spacing w:after="0" w:line="223" w:lineRule="auto"/>
        <w:rPr>
          <w:sz w:val="20"/>
          <w:szCs w:val="20"/>
          <w:color w:val="auto"/>
        </w:rPr>
      </w:pPr>
      <w:r>
        <w:rPr>
          <w:rFonts w:ascii="Times New Roman" w:cs="Times New Roman" w:eastAsia="Times New Roman" w:hAnsi="Times New Roman"/>
          <w:sz w:val="20"/>
          <w:szCs w:val="20"/>
          <w:color w:val="231F20"/>
        </w:rPr>
        <w:t>Currently, many states in the United States have adopted the AAFCO’s definition of the term “natural” with respect to the pet food industry, which means a feed or feed ingredient derived solely from plant, animal, or mined sources not having been produced by or subject to a chemically synthetic process and not containing any additives or processing aids that are chemically synthetic except in amounts as might occur in good manufacturing practices. Certain of our pet food products use the term “natural” in their labelling or marketing materials. As a result, we may incur material costs to comply with any new labeling requirements relating to the term “natural” and could be subject to liabilities if we fail to timely comply with such requirements, which could have a material adverse effect on our business, financial condition, and results of operations.</w:t>
      </w:r>
    </w:p>
    <w:p>
      <w:pPr>
        <w:spacing w:after="0" w:line="195"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231F20"/>
        </w:rPr>
        <w:t>Among the many state rules and regulations we are required to comply with is, the California Safe Drinking Water and Toxic Enforcement Act, also referred to as Proposition 65, which requires “clear and reasonable” warnings be given to persons who are exposed to chemicals known to the State of California to cause cancer or reproductive toxicity. Interpretation and application of such rules may give rise to uncertainty as to the appropriate labeling and formulation of our products. Failure by any of our co-packers or other suppliers, particularly those we do not control the manufacturing process for, to comply with Proposition 65 could lead to the Company being adversely affected by litigation or regulatory enforcement.</w:t>
      </w:r>
    </w:p>
    <w:p>
      <w:pPr>
        <w:spacing w:after="0" w:line="23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Failure to comply with governmental regulations or the expansion of existing or the enactment of new laws or regulations applicable to our veterinary services could adversely affect our business and our financial condition or lead to fines, litigation, or our inability to offer veterinary products or services in certain states.</w:t>
      </w:r>
    </w:p>
    <w:p>
      <w:pPr>
        <w:spacing w:after="0" w:line="6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All of the states in which we operate impose various registration, permit, and/or licensing requirements relating to the provision of veterinary products and services. To fulfill these requirements, we believe that we have registered with appropriate governmental agencies and, where required, have appointed a licensed veterinarian to act on behalf of each facility. All veterinarians practicing in our veterinary service businesses are required to maintain valid state licenses to practice.</w:t>
      </w:r>
    </w:p>
    <w:p>
      <w:pPr>
        <w:spacing w:after="0" w:line="19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In addition, certain states have laws, rules, and regulations which require that veterinary medical practices be owned by licensed veterinarians and that corporations which are not owned by licensed veterinarians refrain from providing, or holding themselves out as providers of, veterinary medical care, or directly employing or otherwise exercising control over veterinarians providing such care. We may experience difficulty in expanding our operations into other states or jurisdictions with similar laws, rules, and regulations. Although we believe that we have structured our operations to comply with our understanding of the veterinary medicine laws of each state or jurisdiction in which we operate, interpretive legal precedent and regulatory guidance varies by jurisdiction and is sometimes sparse and not fully developed. A determination that we are in violation of applicable restrictions on the practice of veterinary medicine in any jurisdiction in which we operate could have a material adverse effect on us, particularly if we are unable to restructure our operations to comply with the requirements of that jurisdiction.</w:t>
      </w:r>
    </w:p>
    <w:p>
      <w:pPr>
        <w:spacing w:after="0" w:line="202"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We strive to comply with all applicable laws, regulations and other legal obligations applicable to any veterinary services we provide. It is possible, however, that these requirements may be interpreted and applied in a manner that is inconsistent from one jurisdiction to another or may conflict with other rules or our practices. We cannot guarantee that our practices have complied, comply, or will comply fully with all such laws, regulations,</w:t>
      </w:r>
    </w:p>
    <w:p>
      <w:pPr>
        <w:sectPr>
          <w:pgSz w:w="11880" w:h="15480" w:orient="portrait"/>
          <w:cols w:equalWidth="0" w:num="1">
            <w:col w:w="9340"/>
          </w:cols>
          <w:pgMar w:left="1260" w:top="861" w:right="1280" w:bottom="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9340"/>
          </w:cols>
          <w:pgMar w:left="1260" w:top="861" w:right="1280" w:bottom="0" w:gutter="0" w:footer="0" w:header="0"/>
          <w:type w:val="continuous"/>
        </w:sectPr>
      </w:pPr>
    </w:p>
    <w:bookmarkStart w:id="35" w:name="page36"/>
    <w:bookmarkEnd w:id="35"/>
    <w:p>
      <w:pPr>
        <w:spacing w:after="0" w:line="242" w:lineRule="auto"/>
        <w:rPr>
          <w:sz w:val="20"/>
          <w:szCs w:val="20"/>
          <w:color w:val="auto"/>
        </w:rPr>
      </w:pPr>
      <w:r>
        <w:rPr>
          <w:rFonts w:ascii="Times New Roman" w:cs="Times New Roman" w:eastAsia="Times New Roman" w:hAnsi="Times New Roman"/>
          <w:sz w:val="20"/>
          <w:szCs w:val="20"/>
          <w:color w:val="231F20"/>
        </w:rPr>
        <w:t>requirements, and obligations. Any failure, or perceived failure, by us to comply with our filed permits and licenses with any applicable federal-, state-, or international-related laws,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or others or other liabilities. Any such claim, proceeding, or action could hurt our reputation, brand and business, force us to incur significant expenses in defending such proceedings, distract our management, increase our costs of doing business, result in a loss of customers and vendors, and may result in the imposition of monetary liability. We may also be contractually liable to indemnify and hold harmless third parties from the costs or consequences of non-compliance with any laws or regulations applicable to our veterinary services. In addition, various federal, state, and foreign legislative and regulatory bodies may expand existing laws or regulations, enact new laws or regulations, or issue revised rules or guidance applicable to our veterinary services. Any such changes may force us to incur substantial costs or require us to change our business practices. This could compromise our ability to pursue our growth strategy effectively and may adversely affect our ability to acquire customers or otherwise harm our business, financial condition, and results of operations.</w:t>
      </w:r>
    </w:p>
    <w:p>
      <w:pPr>
        <w:spacing w:after="0" w:line="203"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20"/>
          <w:szCs w:val="20"/>
          <w:b w:val="1"/>
          <w:bCs w:val="1"/>
          <w:i w:val="1"/>
          <w:iCs w:val="1"/>
          <w:color w:val="231F20"/>
        </w:rPr>
        <w:t>Regulation of the sale of pet insurance is subject to change, and future regulations could harm our business, operating results, and financial condition.</w:t>
      </w:r>
    </w:p>
    <w:p>
      <w:pPr>
        <w:spacing w:after="0" w:line="1" w:lineRule="exact"/>
        <w:rPr>
          <w:sz w:val="20"/>
          <w:szCs w:val="20"/>
          <w:color w:val="auto"/>
        </w:rPr>
      </w:pPr>
    </w:p>
    <w:p>
      <w:pPr>
        <w:ind w:right="100" w:firstLine="420"/>
        <w:spacing w:after="0" w:line="235" w:lineRule="auto"/>
        <w:rPr>
          <w:sz w:val="20"/>
          <w:szCs w:val="20"/>
          <w:color w:val="auto"/>
        </w:rPr>
      </w:pPr>
      <w:r>
        <w:rPr>
          <w:rFonts w:ascii="Times New Roman" w:cs="Times New Roman" w:eastAsia="Times New Roman" w:hAnsi="Times New Roman"/>
          <w:sz w:val="24"/>
          <w:szCs w:val="24"/>
          <w:color w:val="231F20"/>
        </w:rPr>
        <w:t>O</w:t>
      </w:r>
      <w:r>
        <w:rPr>
          <w:rFonts w:ascii="Times New Roman" w:cs="Times New Roman" w:eastAsia="Times New Roman" w:hAnsi="Times New Roman"/>
          <w:sz w:val="20"/>
          <w:szCs w:val="20"/>
          <w:color w:val="231F20"/>
        </w:rPr>
        <w:t>ur business operates in the pet insurance market. The laws and regulations governing the offer, sale, and</w:t>
      </w:r>
      <w:r>
        <w:rPr>
          <w:rFonts w:ascii="Times New Roman" w:cs="Times New Roman" w:eastAsia="Times New Roman" w:hAnsi="Times New Roman"/>
          <w:sz w:val="24"/>
          <w:szCs w:val="24"/>
          <w:color w:val="231F20"/>
        </w:rPr>
        <w:t xml:space="preserve"> </w:t>
      </w:r>
      <w:r>
        <w:rPr>
          <w:rFonts w:ascii="Times New Roman" w:cs="Times New Roman" w:eastAsia="Times New Roman" w:hAnsi="Times New Roman"/>
          <w:sz w:val="20"/>
          <w:szCs w:val="20"/>
          <w:color w:val="231F20"/>
        </w:rPr>
        <w:t>purchase of pet insurance are subject to change, and future changes may be adverse to our business. For example, if a jurisdiction were to alter the requirements for obtaining or maintaining an agent’s license in connection with the enrollment of a member, it could have a material adverse effect on our operations. Some states in the U.S. have adopted, and others are expected to adopt, new laws and regulations related to the pet insurance industry. It is difficult to predict how these or any other new laws and regulations will impact our business, but, in some cases, changes in insurance laws, regulations, and guidelines may require that we make significant modifications to our practices, which may be costly and difficult to implement, could harm our ability to effectively grow our pet insurance offerings, and could also harm our business, operating results and financial condition.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are subject to risks related to online payment methods and our Petco Pay promotional financing program</w:t>
      </w:r>
      <w:r>
        <w:rPr>
          <w:rFonts w:ascii="Times New Roman" w:cs="Times New Roman" w:eastAsia="Times New Roman" w:hAnsi="Times New Roman"/>
          <w:sz w:val="20"/>
          <w:szCs w:val="20"/>
          <w:b w:val="1"/>
          <w:bCs w:val="1"/>
          <w:color w:val="231F20"/>
        </w:rPr>
        <w:t>.</w:t>
      </w:r>
    </w:p>
    <w:p>
      <w:pPr>
        <w:spacing w:after="0" w:line="12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We currently accept payments using a variety of methods, including, but not limited to, credit cards, debit cards, PayPal, Apple Pay, Google Pay, Samsung Pay, Klarna, and gift cards. As we offer new payment options to consumers, we may be subject to additional regulations, compliance requirements, fraud, and other risks. For certain payment methods, we pay interchange and other fees, which often increase over time and raise our operating costs and lower profitability. As a merchant that accepts debit and credit cards for payment, we are subject to PCI DSS, which contains compliance guidelines and standards with regard to the physical, administrative, and technical security requirements for storing, processing, and transmitting of individual cardholder data. By accepting debit cards for payment, we are also subject to compliance with American National Standards Institute data encryption standards and payment network security operating guidelines. Additionally, the Fair and Accurate Credit Transactions Act requires systems that print payment card receipts to employ personal account number truncation so that the cardholder’s full account number is not viewable on the slip.</w:t>
      </w:r>
    </w:p>
    <w:p>
      <w:pPr>
        <w:spacing w:after="0" w:line="89"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31F20"/>
        </w:rPr>
        <w:t>Failure to be PCI compliant or to meet other payment card standards may result in the imposition of financial penalties or the allocation by the card brands of the costs of fraudulent charges to us. Additionally, the Fair and Accurate Credit Transactions Act requires systems that print payment card receipts to employ personal account number truncation so that the customer’s full account number is not viewable on the slip.</w:t>
      </w:r>
    </w:p>
    <w:p>
      <w:pPr>
        <w:spacing w:after="0" w:line="19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As our business changes, we may be subject to different rules under existing standards, which may require new assessments that involve costs above what we currently pay for compliance. In the future, as we offer new payment options to consumers, including by way of integrating emerging mobile and other payment methods, we may be subject to additional regulations, compliance requirements, licenses, and fraud.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legal proceedings, or higher transaction fees and may lose, or face restrictions placed upon, our ability to accept credit card payments from consumers or facilitate other types of online payments. If any of these events were to occur, our business, financial condition, and results of operations could be materially and adversely affected.</w:t>
      </w:r>
    </w:p>
    <w:p>
      <w:pPr>
        <w:spacing w:after="0" w:line="202" w:lineRule="exact"/>
        <w:rPr>
          <w:sz w:val="20"/>
          <w:szCs w:val="20"/>
          <w:color w:val="auto"/>
        </w:rPr>
      </w:pPr>
    </w:p>
    <w:p>
      <w:pPr>
        <w:ind w:right="80" w:firstLine="490"/>
        <w:spacing w:after="0" w:line="305" w:lineRule="auto"/>
        <w:rPr>
          <w:sz w:val="20"/>
          <w:szCs w:val="20"/>
          <w:color w:val="auto"/>
        </w:rPr>
      </w:pPr>
      <w:r>
        <w:rPr>
          <w:rFonts w:ascii="Times New Roman" w:cs="Times New Roman" w:eastAsia="Times New Roman" w:hAnsi="Times New Roman"/>
          <w:sz w:val="19"/>
          <w:szCs w:val="19"/>
          <w:color w:val="231F20"/>
        </w:rPr>
        <w:t>We also occasionally receive orders placed with fraudulent cardholder, customer, or account data. Although we have measures in place to detect, reduce, and mitigate the occurrence of such fraudulent activity, those measures</w:t>
      </w:r>
    </w:p>
    <w:p>
      <w:pPr>
        <w:sectPr>
          <w:pgSz w:w="11880" w:h="15480" w:orient="portrait"/>
          <w:cols w:equalWidth="0" w:num="1">
            <w:col w:w="9360"/>
          </w:cols>
          <w:pgMar w:left="1260" w:top="880" w:right="1260" w:bottom="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9360"/>
          </w:cols>
          <w:pgMar w:left="1260" w:top="880" w:right="1260" w:bottom="0" w:gutter="0" w:footer="0" w:header="0"/>
          <w:type w:val="continuous"/>
        </w:sectPr>
      </w:pPr>
    </w:p>
    <w:bookmarkStart w:id="36" w:name="page37"/>
    <w:bookmarkEnd w:id="36"/>
    <w:p>
      <w:pPr>
        <w:ind w:right="180"/>
        <w:spacing w:after="0" w:line="258" w:lineRule="auto"/>
        <w:rPr>
          <w:sz w:val="20"/>
          <w:szCs w:val="20"/>
          <w:color w:val="auto"/>
        </w:rPr>
      </w:pPr>
      <w:r>
        <w:rPr>
          <w:rFonts w:ascii="Times New Roman" w:cs="Times New Roman" w:eastAsia="Times New Roman" w:hAnsi="Times New Roman"/>
          <w:sz w:val="20"/>
          <w:szCs w:val="20"/>
          <w:color w:val="231F20"/>
        </w:rPr>
        <w:t>are not always effective, and we have incurred, and could in the future continue to incur, financial losses, losses of customers, and reputational harm for such fraudulent transactions, which could harm our business, financial condition, and results of operations.</w:t>
      </w:r>
    </w:p>
    <w:p>
      <w:pPr>
        <w:spacing w:after="0" w:line="3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marketing programs, e-commerce initiatives, and use of personal information are governed by an evolving set of laws and enforcement trends, and changes in privacy laws or trends, or our failure to comply with existing or future laws, could substantially harm our business and results of operations.</w:t>
      </w:r>
    </w:p>
    <w:p>
      <w:pPr>
        <w:spacing w:after="0" w:line="6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We collect, maintain, use, and share personal information provided to us through online activities and other consumer, employee, applicant, and business-to-business interactions in order to provide a better experience for our customers, employees, and vendors. Our current and future marketing programs depend on our ability to collect, maintain, use, and share this personal information with service providers and other vendors, and our ability to do so depends on the trust that our customers place in us and our ability to maintain that trust. Additionally, our use of consumer data is subject to the terms of our privacy policies and certain contractual restrictions in vendor contracts as well as evolving federal, state, and international laws and enforcement trends. While we strive to comply with all such regulatory and contractual obligations and believe that we are good stewards of the data of our customers, employees, vendors, and applicants, this area is rapidly evolving, and these requirements may be interpreted and applied in a manner that is inconsistent from one jurisdiction to another, may conflict with other rules, or may conflict with our practices. If we violate privacy laws, we would suffer damage to our reputation and be subject to proceedings or actions against us by governmental entities or others. Due to the rapidly evolving nature of this area of the law, we have seen an increase in claims filed against us and others by plaintiffs and state regulatory authorities alleging violations of various data privacy laws. Although no such proceeding asserted or filed against us has subjected us to material liability to date, any such proceeding or action could hurt our reputation, force us to spend significant amounts to defend our practices, distract our management, increase our costs of doing business, and result in monetary liability and/or injunctive relief impacting our marketing, analytics, and other business operations.</w:t>
      </w:r>
    </w:p>
    <w:p>
      <w:pPr>
        <w:spacing w:after="0" w:line="20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One of the ways we track consumer data and interactions for marketing purposes, as well as advertise certain employment or independent contractor opportunities, is through the use of third-party “cookies” and similar online tracking technologies. Federal and state governmental authorities continue to evaluate the privacy implications inherent in the use of third-party cookies and other methods of online tracking (such as pixels, tags, and beacons) for behavioral advertising and other purposes. The U.S. government and various states have enacted, have considered, or are considering legislation or regulations that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In addition, private litigants have claimed the use of these tracking technologies invades their privacy, violates privacy or other laws, or constitutes an unfair business practice.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including for behavioral advertising and recruiting purposes. The regulation of the use of these cookies and other current online tracking, recruiting, and advertising practices or a loss in our ability to make effective use of services that employ such technologies could increase our costs of operations and/or recruitment, and limit our ability to acquire new customers and/or staff on cost-effective terms and, consequently, materially and adversely affect our business, financial condition, and results of operations.</w:t>
      </w:r>
    </w:p>
    <w:p>
      <w:pPr>
        <w:spacing w:after="0" w:line="206"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31F20"/>
        </w:rPr>
        <w:t>In addition, various federal and state legislative and regulatory bodies, or self-regulatory organizations, continue to expand or further enforce current laws or regulations, enact new laws or regulations, or issue revised rules or guidance regarding privacy, data protection, consumer protection, and advertising. For example, in June 2018, California enacted the California Consumer Privacy Act (the “CCPA”), which took effect on January 1, 2020. The CCPA gave California residents expanded rights to access and delete their personal information, opt out of certain uses of personal information, and receive detailed information about what personal information is collected, how their personal information is used, and how that personal information is shared. The CCPA provided for civil penalties for violations enforced by the California Attorney General, as well as a private right of action for data breaches that has resulted in an increase in consumer class actions and other litigation. Further, on November 3, 2020, the California Privacy Rights Act (the “CPRA”) was voted into law by California residents and went into effect on January 1, 2023. The CPRA significantly amends the CCPA, and imposes additional data protection obligations on companies doing business in California, including additional consumer rights processes and opt outs</w:t>
      </w:r>
    </w:p>
    <w:p>
      <w:pPr>
        <w:sectPr>
          <w:pgSz w:w="11880" w:h="15480" w:orient="portrait"/>
          <w:cols w:equalWidth="0" w:num="1">
            <w:col w:w="9340"/>
          </w:cols>
          <w:pgMar w:left="1260" w:top="880" w:right="1280" w:bottom="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9340"/>
          </w:cols>
          <w:pgMar w:left="1260" w:top="880" w:right="1280" w:bottom="0" w:gutter="0" w:footer="0" w:header="0"/>
          <w:type w:val="continuous"/>
        </w:sectPr>
      </w:pPr>
    </w:p>
    <w:bookmarkStart w:id="37" w:name="page38"/>
    <w:bookmarkEnd w:id="37"/>
    <w:p>
      <w:pPr>
        <w:ind w:right="20"/>
        <w:spacing w:after="0" w:line="242" w:lineRule="auto"/>
        <w:rPr>
          <w:sz w:val="20"/>
          <w:szCs w:val="20"/>
          <w:color w:val="auto"/>
        </w:rPr>
      </w:pPr>
      <w:r>
        <w:rPr>
          <w:rFonts w:ascii="Times New Roman" w:cs="Times New Roman" w:eastAsia="Times New Roman" w:hAnsi="Times New Roman"/>
          <w:sz w:val="20"/>
          <w:szCs w:val="20"/>
          <w:color w:val="231F20"/>
        </w:rPr>
        <w:t>for certain uses of sensitive data. It also created the California Privacy Protection Agency, a new data protection agency specifically tasked to issue privacy regulations and enforce the law, which results in increased regulatory scrutiny of California businesses in the areas of data collection, protection, and security. The CCPA and CPRA marked the beginning of a trend toward more stringent state privacy legislation in the United States. Similar laws have been passed in several states, and have been proposed in additional states and at the federal level. Such laws have conflicting requirements that make compliance challenging. We have incurred and expect to continue to incur costs to adapt our systems and practices to comply with these requirements, and these costs may adversely affect our financial condition and results of operations. Additionally, our risk of regulatory enforcement, investigations, fines, and penalties increases with each state that passes similar privacy laws. Further, the FTC and many state attorneys general have interpreted existing federal and state consumer protection laws to impose evolving standards for the collection, use, dissemination, and security of other personal data. Courts may also adopt the standards for fair information practices promulgated by the FTC, which concern consumer notice, choice, security, and access. Consumer protection laws require us to publish statements that describe how we handle personal data and choices individuals may have about the way we handle their personal data. If such information that we publish is considered untrue, we could be subject to government and private claims of unfair or deceptive trade practices, which would lead to significant liabilities and consequences. Further, according to the FTC, violating consumers’ privacy rights or failing to take appropriate steps to keep consumers’ personal data secure may constitute unfair acts or practices in or affecting commerce in violation of Section 5(a) of the Federal Trade Commission Act.</w:t>
      </w:r>
    </w:p>
    <w:p>
      <w:pPr>
        <w:spacing w:after="0" w:line="206" w:lineRule="exact"/>
        <w:rPr>
          <w:sz w:val="20"/>
          <w:szCs w:val="20"/>
          <w:color w:val="auto"/>
        </w:rPr>
      </w:pPr>
    </w:p>
    <w:p>
      <w:pPr>
        <w:ind w:right="220" w:firstLine="490"/>
        <w:spacing w:after="0" w:line="245" w:lineRule="auto"/>
        <w:rPr>
          <w:sz w:val="20"/>
          <w:szCs w:val="20"/>
          <w:color w:val="auto"/>
        </w:rPr>
      </w:pPr>
      <w:r>
        <w:rPr>
          <w:rFonts w:ascii="Times New Roman" w:cs="Times New Roman" w:eastAsia="Times New Roman" w:hAnsi="Times New Roman"/>
          <w:sz w:val="20"/>
          <w:szCs w:val="20"/>
          <w:color w:val="231F20"/>
        </w:rPr>
        <w:t>Each of these privacy, security, and data protection laws and regulations—and others, including the CAN-SPAM Act of 2003, regulating our use of certain electronic mail marketing and state data breach notification laws requiring notifications to state residents in certain instances—and any other such changes or new laws or regulations, could impose significant limitations, require ongoing changes to our business, or restrict our use or storage of personal information, which would increase our compliance expenses and make our business costlier or less efficient to conduct. In addition, any such changes could compromise our ability to develop an adequate marketing strategy and pursue our growth strategy effectively, which, in turn, could adversely affect our business, financial condition, and results of operations.</w:t>
      </w:r>
    </w:p>
    <w:p>
      <w:pPr>
        <w:spacing w:after="0" w:line="32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face the risk of litigation resulting from unauthorized text messages and/or telephone calls made in violation of the Telephone Consumer Protection Act and its state law equivalents.</w:t>
      </w:r>
    </w:p>
    <w:p>
      <w:pPr>
        <w:spacing w:after="0" w:line="49"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231F20"/>
        </w:rPr>
        <w:t>We send short message service, or SMS, text messages to customers and job candidates, and make outbound telephone calls. The actual or perceived improper sending of text messages or placing of telephone calls subjects us to potential risks, including liabilities or claims relating to consumer protection laws. For example, the Telephone Consumer Protection Act of 1991, a federal statute that protects consumers from unwanted telephone calls, faxes, and text messages, restricts telemarketing and the use of automated SMS text messages and certain dialing practices without proper consent. Numerous class action suits under federal and state laws have been filed in recent years against companies who conduct SMS texting or outbound calling programs, with many resulting in multi-million-dollar settlements to the plaintiffs. Federal or state regulatory authorities or private litigants could claim that the notices and disclosures we provide, form of consents we obtain, or our SMS texting or calling practices are not adequate or violate applicable law, resulting in civil claims against us. The scope and interpretation of the laws that apply to the delivery of text messages and/or outbound calling are continuously evolving and developing. If we do not comply with these laws or regulations or if we become liable under these laws or regulations, we could face direct liability, could be required to change some portions of our business model, or could face negative publicity, and our business, financial condition, and results of operations could be adversely affected as a result. Even an unsuccessful challenge of our SMS texting or calling practices by our customers, regulatory authorities, or other third parties could result in negative publicity and could require a costly response from and defense by us.</w:t>
      </w:r>
    </w:p>
    <w:p>
      <w:pPr>
        <w:spacing w:after="0" w:line="33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Product recalls and product liability, as well as changes in product safety and other consumer protection laws, may adversely impact our operations, merchandise offerings, reputation, financial condition, results of operations, and cash flows.</w:t>
      </w:r>
    </w:p>
    <w:p>
      <w:pPr>
        <w:spacing w:after="0" w:line="68" w:lineRule="exact"/>
        <w:rPr>
          <w:sz w:val="20"/>
          <w:szCs w:val="20"/>
          <w:color w:val="auto"/>
        </w:rPr>
      </w:pPr>
    </w:p>
    <w:p>
      <w:pPr>
        <w:ind w:firstLine="490"/>
        <w:spacing w:after="0" w:line="263" w:lineRule="auto"/>
        <w:rPr>
          <w:sz w:val="20"/>
          <w:szCs w:val="20"/>
          <w:color w:val="auto"/>
        </w:rPr>
      </w:pPr>
      <w:r>
        <w:rPr>
          <w:rFonts w:ascii="Times New Roman" w:cs="Times New Roman" w:eastAsia="Times New Roman" w:hAnsi="Times New Roman"/>
          <w:sz w:val="19"/>
          <w:szCs w:val="19"/>
          <w:color w:val="231F20"/>
        </w:rPr>
        <w:t>We are subject to regulations by a variety of federal, state, and international regulatory authorities, including regulations regarding the safety and quality of our products. We purchase merchandise from several hundred different vendors. One or more of our vendors, including manufacturers of our owned or private label brand products, might not adhere to product safety requirements or our quality control standards, and we might not identify the deficiency before merchandise ships to our pet care centers. Any issues of product safety or allegations that our products are in violation of governmental regulations, including, but not limited to, issues involving products</w:t>
      </w:r>
    </w:p>
    <w:p>
      <w:pPr>
        <w:sectPr>
          <w:pgSz w:w="11880" w:h="15480" w:orient="portrait"/>
          <w:cols w:equalWidth="0" w:num="1">
            <w:col w:w="9360"/>
          </w:cols>
          <w:pgMar w:left="1260" w:top="880" w:right="1260" w:bottom="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9360"/>
          </w:cols>
          <w:pgMar w:left="1260" w:top="880" w:right="1260" w:bottom="0" w:gutter="0" w:footer="0" w:header="0"/>
          <w:type w:val="continuous"/>
        </w:sectPr>
      </w:pPr>
    </w:p>
    <w:bookmarkStart w:id="38" w:name="page39"/>
    <w:bookmarkEnd w:id="38"/>
    <w:p>
      <w:pPr>
        <w:spacing w:after="0" w:line="243" w:lineRule="auto"/>
        <w:rPr>
          <w:sz w:val="20"/>
          <w:szCs w:val="20"/>
          <w:color w:val="auto"/>
        </w:rPr>
      </w:pPr>
      <w:r>
        <w:rPr>
          <w:rFonts w:ascii="Times New Roman" w:cs="Times New Roman" w:eastAsia="Times New Roman" w:hAnsi="Times New Roman"/>
          <w:sz w:val="20"/>
          <w:szCs w:val="20"/>
          <w:color w:val="231F20"/>
        </w:rPr>
        <w:t>manufactured in foreign countries, could cause those products to be recalled. If our vendors fail to manufacture or import merchandise that adheres to our quality control standards, product safety requirements, or applicable governmental regulations, our reputation and brands could be damaged, potentially leading to decreased sales or increases in customer litigation against us. Further, to the extent we are unable to replace any recalled products, we may have to reduce our merchandise offerings, resulting in a decrease in sales. If our vendors are unable or unwilling to recall products failing to meet our quality standards, we may be required to recall those products at a substantial cost to us. Moreover, changes in product safety or other consumer protection laws could lead to increased costs to us for certain merchandise, or additional labor costs associated with readying merchandise for sale. Long lead times on merchandise ordering cycles increase the difficulty for us to plan and prepare for potential changes to applicable laws. In the event that we are unable to timely comply with regulatory changes or regulators do not believe we are complying with current regulations applicable to us, significant fines or penalties could result, and could adversely affect our reputation, financial condition, results of operations, and cash flows.</w:t>
      </w:r>
    </w:p>
    <w:p>
      <w:pPr>
        <w:spacing w:after="0" w:line="3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Failure to establish, maintain, protect, and enforce our intellectual property and proprietary rights or prevent third parties from making unauthorized use of our technology or our brand could harm our competitive position or require us to incur significant expenses to enforce our rights.</w:t>
      </w:r>
    </w:p>
    <w:p>
      <w:pPr>
        <w:spacing w:after="0" w:line="68"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231F20"/>
        </w:rPr>
        <w:t>Our trademarks, such as Bond &amp; Co., EveryYay, Good 2 Go, Good Lovin’, Imagitarium, Leaps &amp; Bounds, Petco, Petco Love, Petco Park, Reddy, Ruff &amp; Mews, So Phresh, Vetco, Well &amp; Good, Where the Pets Go, WholeHearted, You &amp; Me, Youly, Vital Care Core, and Vital Care Premier, are valuable assets that support our brand and consumers’ perception of our products. We rely on trademark, copyright, trade secret, patent, and other intellectual property laws, as well as nondisclosure and confidentiality agreements and other methods, to protect our trademarks, trade names, proprietary information, technologies, and processes. We might not be able to obtain broad protection in the United States for all of our intellectual property. The protection of our intellectual property rights may require the expenditure of significant financial, managerial, and operational resources. Moreover, the steps we take to protect our intellectual property may not adequately protect our rights or prevent third parties from infringing or misappropriating our proprietary rights, and we may be unable to broadly enforce all of our trademarks. Any of our patents, trademarks, or other intellectual property rights may be challenged by others or invalidated through administrative process or litigation. Our patent and trademark applications may never be granted. Additionally, the process of obtaining patent protection is expensive and time-consuming, and we may be unable to prosecute all necessary or desirable patent applications at a reasonable cost or in a timely manner. Even if issued, there can be no assurance that these patents will adequately protect our intellectual property, as the legal standards relating to the validity, enforceability, and scope of protection of patent and other intellectual property rights are uncertain. We also cannot be certain that others will not independently develop or otherwise acquire equivalent or superior technology or intellectual property rights. Further, our nondisclosure agreements and confidentiality agreements may not effectively prevent disclosure of our proprietary information, technologies, and processes and may not provide an adequate remedy in the event of unauthorized disclosure of such information, which could harm our competitive position. In addition, effective intellectual property protection may be unavailable or limited for some of our trademarks and patents in some foreign countries. We might be required to expend significant resources to monitor and protect our intellectual property rights. For example, we may need to engage in litigation or similar activities to enforce our intellectual property rights, to protect our trade secrets, or to determine the validity and scope of proprietary rights of others. However, we may be unable to discover or determine the extent of any infringement, misappropriation, or other violation of our intellectual property rights and other proprietary rights. Despite our efforts, we may be unable to prevent third parties from infringing upon, misappropriating, or otherwise violating our intellectual property rights and other proprietary rights. Any such litigation, whether or not resolved in our favor, could require us to expend significant resources and divert the efforts and attention of our management and other personnel from our business operations. If we fail to protect our intellectual property, our business, financial condition, and results of operations may be materially adversely affected.</w:t>
      </w:r>
    </w:p>
    <w:p>
      <w:pPr>
        <w:spacing w:after="0" w:line="331"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 subject to intellectual property infringement claims or other allegations, which could result in substantial damages and diversion of management’s efforts and attention.</w:t>
      </w:r>
    </w:p>
    <w:p>
      <w:pPr>
        <w:spacing w:after="0" w:line="49" w:lineRule="exact"/>
        <w:rPr>
          <w:sz w:val="20"/>
          <w:szCs w:val="20"/>
          <w:color w:val="auto"/>
        </w:rPr>
      </w:pPr>
    </w:p>
    <w:p>
      <w:pPr>
        <w:ind w:right="20" w:firstLine="490"/>
        <w:spacing w:after="0" w:line="263" w:lineRule="auto"/>
        <w:rPr>
          <w:sz w:val="20"/>
          <w:szCs w:val="20"/>
          <w:color w:val="auto"/>
        </w:rPr>
      </w:pPr>
      <w:r>
        <w:rPr>
          <w:rFonts w:ascii="Times New Roman" w:cs="Times New Roman" w:eastAsia="Times New Roman" w:hAnsi="Times New Roman"/>
          <w:sz w:val="19"/>
          <w:szCs w:val="19"/>
          <w:color w:val="231F20"/>
        </w:rPr>
        <w:t>We have obligations with respect to the non-use and non-disclosure of third-party intellectual property. The steps we take to prevent misappropriation, infringement, or other violations of the intellectual property of others, including in connection with our use of emerging technologies such as AI tools for content and image generation in marketing or other business activities, may not be successful. From time to time, third parties have asserted intellectual property infringement claims against us and are likely to continue to do so in the future. These risks have been amplified by the increase in third parties whose sole or primary business is to assert such claims, as well as</w:t>
      </w:r>
    </w:p>
    <w:p>
      <w:pPr>
        <w:sectPr>
          <w:pgSz w:w="11880" w:h="15480" w:orient="portrait"/>
          <w:cols w:equalWidth="0" w:num="1">
            <w:col w:w="9360"/>
          </w:cols>
          <w:pgMar w:left="1260" w:top="880" w:right="1260" w:bottom="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9360"/>
          </w:cols>
          <w:pgMar w:left="1260" w:top="880" w:right="1260" w:bottom="0" w:gutter="0" w:footer="0" w:header="0"/>
          <w:type w:val="continuous"/>
        </w:sectPr>
      </w:pPr>
    </w:p>
    <w:bookmarkStart w:id="39" w:name="page40"/>
    <w:bookmarkEnd w:id="39"/>
    <w:p>
      <w:pPr>
        <w:ind w:right="200"/>
        <w:spacing w:after="0" w:line="252" w:lineRule="auto"/>
        <w:rPr>
          <w:sz w:val="20"/>
          <w:szCs w:val="20"/>
          <w:color w:val="auto"/>
        </w:rPr>
      </w:pPr>
      <w:r>
        <w:rPr>
          <w:rFonts w:ascii="Times New Roman" w:cs="Times New Roman" w:eastAsia="Times New Roman" w:hAnsi="Times New Roman"/>
          <w:sz w:val="20"/>
          <w:szCs w:val="20"/>
          <w:color w:val="231F20"/>
        </w:rPr>
        <w:t>evolving legal and regulatory frameworks governing the use of AI and related technologies. While we believe that our products and operations do not infringe in any material respect upon proprietary rights of other parties and/or that meritorious defenses would exist with respect to any assertions to the contrary, we may from time to time be found to infringe on the proprietary rights of others.</w:t>
      </w:r>
    </w:p>
    <w:p>
      <w:pPr>
        <w:spacing w:after="0" w:line="19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Any claims that our products, services, systems, applications, or marketing materials (including materials created or modified using AI tools) infringe the proprietary rights of third parties, regardless of their merit or resolution, could be costly to investigate, defend and/or settle, result in injunctions against us or payment of damages or licensing fees by us, and may divert the efforts and attention of our management and technical personnel. We may not prevail in such proceedings given the complex technical issues, developing legal standards related to AI, and inherent uncertainties in intellectual property litigation. If such proceedings result in an adverse outcome, we could, among other things, be required to:</w:t>
      </w:r>
    </w:p>
    <w:p>
      <w:pPr>
        <w:spacing w:after="0" w:line="94" w:lineRule="exact"/>
        <w:rPr>
          <w:sz w:val="20"/>
          <w:szCs w:val="20"/>
          <w:color w:val="auto"/>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pay substantial damages (potentially treble damages in the United States);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cease the manufacture, use, distribution, or sale of the infringing products, operations, or services;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discontinue the use of the infringing methods or processes;</w:t>
      </w:r>
    </w:p>
    <w:p>
      <w:pPr>
        <w:spacing w:after="0" w:line="133" w:lineRule="exact"/>
        <w:rPr>
          <w:rFonts w:ascii="Arial" w:cs="Arial" w:eastAsia="Arial" w:hAnsi="Arial"/>
          <w:sz w:val="20"/>
          <w:szCs w:val="20"/>
          <w:color w:val="231F20"/>
        </w:rPr>
      </w:pPr>
    </w:p>
    <w:p>
      <w:pPr>
        <w:ind w:left="980" w:right="100" w:hanging="490"/>
        <w:spacing w:after="0" w:line="276"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expend significant resources to develop non-infringing products, operations, or services or re-brand our business and products; and</w:t>
      </w:r>
    </w:p>
    <w:p>
      <w:pPr>
        <w:spacing w:after="0" w:line="64" w:lineRule="exact"/>
        <w:rPr>
          <w:rFonts w:ascii="Arial" w:cs="Arial" w:eastAsia="Arial" w:hAnsi="Arial"/>
          <w:sz w:val="20"/>
          <w:szCs w:val="20"/>
          <w:color w:val="231F20"/>
        </w:rPr>
      </w:pPr>
    </w:p>
    <w:p>
      <w:pPr>
        <w:ind w:left="980" w:right="100" w:hanging="490"/>
        <w:spacing w:after="0" w:line="258" w:lineRule="auto"/>
        <w:tabs>
          <w:tab w:leader="none" w:pos="98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 a license from the third party claiming infringement, which may not be available on commercially reasonable terms, or may not be available at all, or could result in reduced profitability of the particular product sold that is subject to the license.</w:t>
      </w:r>
    </w:p>
    <w:p>
      <w:pPr>
        <w:spacing w:after="0" w:line="187"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31F20"/>
        </w:rPr>
        <w:t>If any of the foregoing occurs, our ability to compete in the markets in which we operate could be affected or our business, financial condition, and results of operations may be materially adversely affected.</w:t>
      </w:r>
    </w:p>
    <w:p>
      <w:pPr>
        <w:spacing w:after="0" w:line="289" w:lineRule="exact"/>
        <w:rPr>
          <w:sz w:val="20"/>
          <w:szCs w:val="20"/>
          <w:color w:val="auto"/>
        </w:rPr>
      </w:pPr>
    </w:p>
    <w:p>
      <w:pPr>
        <w:jc w:val="both"/>
        <w:ind w:right="4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are party to routine litigation arising in the ordinary course of our business and may become involved in additional litigation, all of which requires time and attention from certain members of management and can result in significant legal expenses.</w:t>
      </w:r>
    </w:p>
    <w:p>
      <w:pPr>
        <w:spacing w:after="0" w:line="50" w:lineRule="exact"/>
        <w:rPr>
          <w:sz w:val="20"/>
          <w:szCs w:val="20"/>
          <w:color w:val="auto"/>
        </w:rPr>
      </w:pPr>
    </w:p>
    <w:p>
      <w:pPr>
        <w:ind w:right="180" w:firstLine="490"/>
        <w:spacing w:after="0" w:line="236" w:lineRule="auto"/>
        <w:rPr>
          <w:sz w:val="20"/>
          <w:szCs w:val="20"/>
          <w:color w:val="auto"/>
        </w:rPr>
      </w:pPr>
      <w:r>
        <w:rPr>
          <w:rFonts w:ascii="Times New Roman" w:cs="Times New Roman" w:eastAsia="Times New Roman" w:hAnsi="Times New Roman"/>
          <w:sz w:val="19"/>
          <w:szCs w:val="19"/>
          <w:color w:val="231F20"/>
        </w:rPr>
        <w:t>We are involved in litigation arising in the ordinary course of business, including claims related to federal or state wage and hour laws, working conditions, predictive scheduling regulations, worker classification, securities laws, antitrust laws, product liability, consumer protection, advertising, employment, intellectual property, tort, privacy, data protection, disputes with landlords and vendors, claims from customers or employees alleging failure to maintain safe premises, and other matters. Even if we prevail, litigation is time-consuming and expensive. An unfavorable outcome in one or more of these existing lawsuits, or future litigation to which we become a party, could have a material adverse effect on our business, financial condition, results of operations, and cash flows.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are subject to environmental, health, and safety laws and regulations that could result in costs to us.</w:t>
      </w:r>
    </w:p>
    <w:p>
      <w:pPr>
        <w:spacing w:after="0" w:line="97" w:lineRule="exact"/>
        <w:rPr>
          <w:sz w:val="20"/>
          <w:szCs w:val="20"/>
          <w:color w:val="auto"/>
        </w:rPr>
      </w:pPr>
    </w:p>
    <w:p>
      <w:pPr>
        <w:ind w:right="60" w:firstLine="490"/>
        <w:spacing w:after="0" w:line="224" w:lineRule="auto"/>
        <w:rPr>
          <w:sz w:val="20"/>
          <w:szCs w:val="20"/>
          <w:color w:val="auto"/>
        </w:rPr>
      </w:pPr>
      <w:r>
        <w:rPr>
          <w:rFonts w:ascii="Times New Roman" w:cs="Times New Roman" w:eastAsia="Times New Roman" w:hAnsi="Times New Roman"/>
          <w:sz w:val="20"/>
          <w:szCs w:val="20"/>
          <w:color w:val="231F20"/>
        </w:rPr>
        <w:t>In connection with the ownership and operations of our pet care centers and distribution centers, we are subject to laws and regulations relating to the protection of the environment and health and safety matters, including those governing the management and disposal of wastes and the cleanup of contaminated sites. We could incur costs, including fines and other sanctions, cleanup costs, and third-party claims, as a result of violations of or liabilities under environmental laws and regulations. Although we are not aware of any of our sites at which we currently have material remedial obligations, the imposition of remedial obligations as a result of the discovery of contaminants in the future could result in additional costs.</w:t>
      </w:r>
    </w:p>
    <w:p>
      <w:pPr>
        <w:spacing w:after="0" w:line="66" w:lineRule="exact"/>
        <w:rPr>
          <w:sz w:val="20"/>
          <w:szCs w:val="20"/>
          <w:color w:val="auto"/>
        </w:rPr>
      </w:pPr>
    </w:p>
    <w:p>
      <w:pPr>
        <w:ind w:right="80" w:firstLine="490"/>
        <w:spacing w:after="0" w:line="232" w:lineRule="auto"/>
        <w:rPr>
          <w:sz w:val="20"/>
          <w:szCs w:val="20"/>
          <w:color w:val="auto"/>
        </w:rPr>
      </w:pPr>
      <w:r>
        <w:rPr>
          <w:rFonts w:ascii="Times New Roman" w:cs="Times New Roman" w:eastAsia="Times New Roman" w:hAnsi="Times New Roman"/>
          <w:sz w:val="19"/>
          <w:szCs w:val="19"/>
          <w:color w:val="231F20"/>
        </w:rPr>
        <w:t>Political and social attention to the issue of climate change has resulted in both existing and pending international agreements and national, regional, or local legislation and regulatory measures to limit greenhouse gas emissions, such as cap and trade regimes, carbon taxes, restrictive permitting, increased fuel efficiency standards, and incentives or mandates for renewable energy, as well as legal and regulatory requirements requiring certain climate-related disclosures, and pressure from shareholders, ratings agencies, state agencies, and other third parties to make various climate-related disclosures. We may also be subject to additional and more complex reporting requirements in the future and such requirements may be inconsistent or conflicting. For example, the State of California recently passed the Climate Corporate Data Accountability Act and the Climate-Related Financial Risk Act that imposes broad climate-related disclosure obligations on companies doing business in California, including us. While certain aspects of the Act are subject to ongoing litigation, others are scheduled to go into effect. Such measures have subjected us, and may subject our vendors, to additional costs and restrictions and require significant operating and capital expenditures, including with respect to waste and energy reduction, compliance costs, and</w:t>
      </w:r>
    </w:p>
    <w:p>
      <w:pPr>
        <w:sectPr>
          <w:pgSz w:w="11880" w:h="15480" w:orient="portrait"/>
          <w:cols w:equalWidth="0" w:num="1">
            <w:col w:w="9360"/>
          </w:cols>
          <w:pgMar w:left="1260" w:top="880" w:right="126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9360"/>
          </w:cols>
          <w:pgMar w:left="1260" w:top="880" w:right="1260" w:bottom="0" w:gutter="0" w:footer="0" w:header="0"/>
          <w:type w:val="continuous"/>
        </w:sectPr>
      </w:pPr>
    </w:p>
    <w:bookmarkStart w:id="40" w:name="page41"/>
    <w:bookmarkEnd w:id="40"/>
    <w:p>
      <w:pPr>
        <w:ind w:right="80"/>
        <w:spacing w:after="0" w:line="253" w:lineRule="auto"/>
        <w:rPr>
          <w:sz w:val="20"/>
          <w:szCs w:val="20"/>
          <w:color w:val="auto"/>
        </w:rPr>
      </w:pPr>
      <w:r>
        <w:rPr>
          <w:rFonts w:ascii="Times New Roman" w:cs="Times New Roman" w:eastAsia="Times New Roman" w:hAnsi="Times New Roman"/>
          <w:sz w:val="20"/>
          <w:szCs w:val="20"/>
          <w:color w:val="231F20"/>
        </w:rPr>
        <w:t>workforce initiatives, which could adversely impact our business, financial condition, results of operations and cash flows.</w:t>
      </w:r>
    </w:p>
    <w:p>
      <w:pPr>
        <w:spacing w:after="0" w:line="289"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20"/>
          <w:szCs w:val="20"/>
          <w:b w:val="1"/>
          <w:bCs w:val="1"/>
          <w:i w:val="1"/>
          <w:iCs w:val="1"/>
          <w:color w:val="231F20"/>
        </w:rPr>
        <w:t>We may fail to comply with various state or federal regulations covering the dispensing and/or administration of prescription pet medications, including controlled substances, through our veterinary services businesses, which may subject us to reprimands, sanctions, probations, fines, or suspensions.</w:t>
      </w:r>
    </w:p>
    <w:p>
      <w:pPr>
        <w:spacing w:after="0" w:line="63"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19"/>
          <w:szCs w:val="19"/>
          <w:color w:val="231F20"/>
        </w:rPr>
        <w:t>The sale, delivery, and/or administration of prescription pet medications and controlled substances through our veterinary services businesses are governed by extensive regulation and oversight by federal and state governmental authorities. The laws and regulations governing our operations and interpretations of those laws and regulations are increasing in number and complexity, change frequently, and can be inconsistent or conflicting. In addition, the governmental authorities that regulate our business have broad latitude to make, interpret, and enforce the laws and regulations that govern our operations and continue to interpret and enforce those laws and regulations more strictly and more aggressively each year. In the future, we may be subject to routine administrative complaints incidental to the dispensing and/or administration of prescription pet medications through our veterinary services businesses.</w:t>
      </w:r>
    </w:p>
    <w:p>
      <w:pPr>
        <w:spacing w:after="0" w:line="185" w:lineRule="exact"/>
        <w:rPr>
          <w:sz w:val="20"/>
          <w:szCs w:val="20"/>
          <w:color w:val="auto"/>
        </w:rPr>
      </w:pPr>
    </w:p>
    <w:p>
      <w:pPr>
        <w:ind w:right="40" w:firstLine="490"/>
        <w:spacing w:after="0" w:line="228" w:lineRule="auto"/>
        <w:rPr>
          <w:sz w:val="20"/>
          <w:szCs w:val="20"/>
          <w:color w:val="auto"/>
        </w:rPr>
      </w:pPr>
      <w:r>
        <w:rPr>
          <w:rFonts w:ascii="Times New Roman" w:cs="Times New Roman" w:eastAsia="Times New Roman" w:hAnsi="Times New Roman"/>
          <w:sz w:val="20"/>
          <w:szCs w:val="20"/>
          <w:color w:val="231F20"/>
        </w:rPr>
        <w:t>If we are unable to maintain the licenses granted by relevant state authorities in connection with our dispensing of prescription pet medications, or if we become subject to actions by the FDA, the DEA, or other regulators, our dispensing of prescription medications to pet parents could cease and we may be subject to reprimands, sanctions, probations, fines, or suspensions, which could have a material adverse effect on our business, financial condition, and results of operations.</w:t>
      </w:r>
    </w:p>
    <w:p>
      <w:pPr>
        <w:spacing w:after="0" w:line="191" w:lineRule="exact"/>
        <w:rPr>
          <w:sz w:val="20"/>
          <w:szCs w:val="20"/>
          <w:color w:val="auto"/>
        </w:rPr>
      </w:pPr>
    </w:p>
    <w:p>
      <w:pPr>
        <w:ind w:right="220" w:firstLine="45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initiatives related to sustainability, and our public statements and disclosures regarding them, expose us to numerous risks.</w:t>
      </w:r>
    </w:p>
    <w:p>
      <w:pPr>
        <w:spacing w:after="0" w:line="41" w:lineRule="exact"/>
        <w:rPr>
          <w:sz w:val="20"/>
          <w:szCs w:val="20"/>
          <w:color w:val="auto"/>
        </w:rPr>
      </w:pPr>
    </w:p>
    <w:p>
      <w:pPr>
        <w:ind w:firstLine="490"/>
        <w:spacing w:after="0" w:line="232" w:lineRule="auto"/>
        <w:rPr>
          <w:sz w:val="20"/>
          <w:szCs w:val="20"/>
          <w:color w:val="auto"/>
        </w:rPr>
      </w:pPr>
      <w:r>
        <w:rPr>
          <w:rFonts w:ascii="Times New Roman" w:cs="Times New Roman" w:eastAsia="Times New Roman" w:hAnsi="Times New Roman"/>
          <w:sz w:val="20"/>
          <w:szCs w:val="20"/>
          <w:color w:val="231F20"/>
        </w:rPr>
        <w:t>We have developed goals, and other initiatives related to sustainability matters. These statements reflect our current plans and do not constitute a guarantee that they will be achieved. Our efforts to research, establish, accomplish, and accurately report on these goals and initiatives expose us to numerous operational, reputational, financial, legal, and other risks. Our ability to achieve any stated goal or initiative is subject to numerous factors and conditions, many of which are outside of our control. Examples of such factors include evolving regulatory requirements affecting sustainability standards or disclosures or imposing different requirements, evolving disclosure standards and/or policies established by regulators and standards organizations, stockholders, ratings agencies, and proxy advisory firms, the pace of changes in technology, the availability of requisite financing, and the availability of suppliers that can meet sustainability and other standards. Furthermore, methodologies for reporting sustainability information may be updated and previously reported information may be adjusted to reflect improvement in the availability and quality of third-party data, changing assumptions, changes in the nature and scope of our operations, and other changes in circumstances. Our processes and controls for reporting sustainability information across our operations are evolving along with multiple disparate standards for identifying, measuring, and reporting sustainability metrics, including sustainability-related disclosures that may be required by certain regulators, and such standards may change over time, which could result in significant revisions to our current goals or reported progress in achieving such goals, or adversely impact our ability to achieve such goals in the future.</w:t>
      </w:r>
    </w:p>
    <w:p>
      <w:pPr>
        <w:spacing w:after="0" w:line="217" w:lineRule="exact"/>
        <w:rPr>
          <w:sz w:val="20"/>
          <w:szCs w:val="20"/>
          <w:color w:val="auto"/>
        </w:rPr>
      </w:pPr>
    </w:p>
    <w:p>
      <w:pPr>
        <w:ind w:firstLine="540"/>
        <w:spacing w:after="0" w:line="243" w:lineRule="auto"/>
        <w:rPr>
          <w:sz w:val="20"/>
          <w:szCs w:val="20"/>
          <w:color w:val="auto"/>
        </w:rPr>
      </w:pPr>
      <w:r>
        <w:rPr>
          <w:rFonts w:ascii="Times New Roman" w:cs="Times New Roman" w:eastAsia="Times New Roman" w:hAnsi="Times New Roman"/>
          <w:sz w:val="20"/>
          <w:szCs w:val="20"/>
          <w:color w:val="231F20"/>
        </w:rPr>
        <w:t>Our business may face increased scrutiny from regulators, the investment community, other stakeholders, and the media related to our sustainability activities and positions. If our sustainability activities and positions do not meet the expectations and standards of regulators, investors, or other stakeholders, which continue to evolve and may conflict with one another, our reputation, our ability to attract or retain employees and customers, and our attractiveness as an investment, business partner, or as an acquiror could be negatively impacted. Similarly, our failure or perceived failure to pursue or fulfill our targets and initiatives, to comply with environmental regulations, or to satisfy various reporting standards with respect to these matters, within required timelines or those which we announce, or at all, could have the same negative impacts, as well as expose us to federal and state government enforcement actions and private litigation. Additionally, we could become the target of litigation, investigations or other proceedings initiated by government authorities or private actors alleging that our activities related to sustainability and societal matters are anti-competitive, discriminatory or otherwise unlawful. Furthermore, positions</w:t>
      </w:r>
    </w:p>
    <w:p>
      <w:pPr>
        <w:sectPr>
          <w:pgSz w:w="11880" w:h="15480" w:orient="portrait"/>
          <w:cols w:equalWidth="0" w:num="1">
            <w:col w:w="9360"/>
          </w:cols>
          <w:pgMar w:left="1260" w:top="86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9360"/>
          </w:cols>
          <w:pgMar w:left="1260" w:top="861" w:right="1260" w:bottom="0" w:gutter="0" w:footer="0" w:header="0"/>
          <w:type w:val="continuous"/>
        </w:sectPr>
      </w:pPr>
    </w:p>
    <w:bookmarkStart w:id="41" w:name="page42"/>
    <w:bookmarkEnd w:id="41"/>
    <w:p>
      <w:pPr>
        <w:spacing w:after="0" w:line="277" w:lineRule="auto"/>
        <w:rPr>
          <w:sz w:val="20"/>
          <w:szCs w:val="20"/>
          <w:color w:val="auto"/>
        </w:rPr>
      </w:pPr>
      <w:r>
        <w:rPr>
          <w:rFonts w:ascii="Times New Roman" w:cs="Times New Roman" w:eastAsia="Times New Roman" w:hAnsi="Times New Roman"/>
          <w:sz w:val="20"/>
          <w:szCs w:val="20"/>
          <w:color w:val="231F20"/>
        </w:rPr>
        <w:t>we take or do not take on social issues may be unpopular with some of our customers, partners, advocacy groups, or other stakeholders in the communities in which we operate, which may lead to adverse effects on our business.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Indebtedness</w:t>
      </w:r>
    </w:p>
    <w:p>
      <w:pPr>
        <w:spacing w:after="0" w:line="12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substantial indebtedness could adversely affect our cash flows and prevent us from fulfilling our obligations under existing debt agreements.</w:t>
      </w:r>
    </w:p>
    <w:p>
      <w:pPr>
        <w:spacing w:after="0" w:line="49" w:lineRule="exact"/>
        <w:rPr>
          <w:sz w:val="20"/>
          <w:szCs w:val="20"/>
          <w:color w:val="auto"/>
        </w:rPr>
      </w:pPr>
    </w:p>
    <w:p>
      <w:pPr>
        <w:ind w:right="100" w:firstLine="490"/>
        <w:spacing w:after="0" w:line="261" w:lineRule="auto"/>
        <w:rPr>
          <w:sz w:val="20"/>
          <w:szCs w:val="20"/>
          <w:color w:val="auto"/>
        </w:rPr>
      </w:pPr>
      <w:r>
        <w:rPr>
          <w:rFonts w:ascii="Times New Roman" w:cs="Times New Roman" w:eastAsia="Times New Roman" w:hAnsi="Times New Roman"/>
          <w:sz w:val="19"/>
          <w:szCs w:val="19"/>
          <w:color w:val="231F20"/>
        </w:rPr>
        <w:t>At January 31, 2026, we had outstanding a (i) $1,500.0 million secured term loan facility maturing on March 4, 2028 (the “First Lien Term Loan”) governed by the Term Loan Credit Agreement and (ii) secured asset-based revolving credit facility providing for senior secured financing of up to $581.0 million, consisting of two tranches with the first tranche having availability of up to $35.0 million, subject to a borrowing base, maturing on March 4, 2026, and the second tranche having availability of up to $546.0 million, subject to a borrowing base, maturing on March 29, 2029 (the “ABL Revolving Credit Facility” governed by the ABL Credit Agreement). Our substantial indebtedness could restrict our operations and could have important consequences. For example, it could:</w:t>
      </w:r>
    </w:p>
    <w:p>
      <w:pPr>
        <w:spacing w:after="0" w:line="81" w:lineRule="exact"/>
        <w:rPr>
          <w:sz w:val="20"/>
          <w:szCs w:val="20"/>
          <w:color w:val="auto"/>
        </w:rPr>
      </w:pPr>
    </w:p>
    <w:p>
      <w:pPr>
        <w:ind w:left="980" w:hanging="490"/>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make it more difficult for us to satisfy our obligations with respect to our existing indebtedness;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increase our vulnerability to general adverse economic and industry conditions;</w:t>
      </w:r>
    </w:p>
    <w:p>
      <w:pPr>
        <w:spacing w:after="0" w:line="133" w:lineRule="exact"/>
        <w:rPr>
          <w:rFonts w:ascii="Arial" w:cs="Arial" w:eastAsia="Arial" w:hAnsi="Arial"/>
          <w:sz w:val="20"/>
          <w:szCs w:val="20"/>
          <w:color w:val="231F20"/>
        </w:rPr>
      </w:pPr>
    </w:p>
    <w:p>
      <w:pPr>
        <w:ind w:left="980" w:right="320" w:hanging="490"/>
        <w:spacing w:after="0" w:line="258"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 us to dedicate a substantial portion of our cash flows from operations to payments on our indebtedness, thereby reducing the availability of our cash flows to fund working capital and capital expenditures, and for other general corporate purposes;</w:t>
      </w:r>
    </w:p>
    <w:p>
      <w:pPr>
        <w:spacing w:after="0" w:line="81" w:lineRule="exact"/>
        <w:rPr>
          <w:rFonts w:ascii="Arial" w:cs="Arial" w:eastAsia="Arial" w:hAnsi="Arial"/>
          <w:sz w:val="20"/>
          <w:szCs w:val="20"/>
          <w:color w:val="231F20"/>
        </w:rPr>
      </w:pPr>
    </w:p>
    <w:p>
      <w:pPr>
        <w:ind w:left="980" w:right="360" w:hanging="490"/>
        <w:spacing w:after="0" w:line="276"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limit our flexibility in planning for, or reacting to, changes in our business and industry, which may place us at a competitive disadvantage compared to our competitors that have less debt;</w:t>
      </w:r>
    </w:p>
    <w:p>
      <w:pPr>
        <w:spacing w:after="0" w:line="64" w:lineRule="exact"/>
        <w:rPr>
          <w:rFonts w:ascii="Arial" w:cs="Arial" w:eastAsia="Arial" w:hAnsi="Arial"/>
          <w:sz w:val="20"/>
          <w:szCs w:val="20"/>
          <w:color w:val="231F20"/>
        </w:rPr>
      </w:pPr>
    </w:p>
    <w:p>
      <w:pPr>
        <w:ind w:left="980" w:right="300" w:hanging="490"/>
        <w:spacing w:after="0" w:line="276"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restrict us from making strategic acquisitions or other investments or cause us to make non-strategic divestitures; and</w:t>
      </w:r>
    </w:p>
    <w:p>
      <w:pPr>
        <w:spacing w:after="0" w:line="64" w:lineRule="exact"/>
        <w:rPr>
          <w:rFonts w:ascii="Arial" w:cs="Arial" w:eastAsia="Arial" w:hAnsi="Arial"/>
          <w:sz w:val="20"/>
          <w:szCs w:val="20"/>
          <w:color w:val="231F20"/>
        </w:rPr>
      </w:pPr>
    </w:p>
    <w:p>
      <w:pPr>
        <w:ind w:left="980" w:right="380" w:hanging="490"/>
        <w:spacing w:after="0" w:line="258" w:lineRule="auto"/>
        <w:tabs>
          <w:tab w:leader="none" w:pos="98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limit, along with the financial and other restrictive covenants in the documents governing our indebtedness, among other things, our ability to obtain additional financing for working capital and capital expenditures, and for other general corporate purposes.</w:t>
      </w:r>
    </w:p>
    <w:p>
      <w:pPr>
        <w:spacing w:after="0" w:line="187" w:lineRule="exact"/>
        <w:rPr>
          <w:sz w:val="20"/>
          <w:szCs w:val="20"/>
          <w:color w:val="auto"/>
        </w:rPr>
      </w:pPr>
    </w:p>
    <w:p>
      <w:pPr>
        <w:jc w:val="both"/>
        <w:ind w:right="100" w:firstLine="490"/>
        <w:spacing w:after="0" w:line="252" w:lineRule="auto"/>
        <w:rPr>
          <w:sz w:val="20"/>
          <w:szCs w:val="20"/>
          <w:color w:val="auto"/>
        </w:rPr>
      </w:pPr>
      <w:r>
        <w:rPr>
          <w:rFonts w:ascii="Times New Roman" w:cs="Times New Roman" w:eastAsia="Times New Roman" w:hAnsi="Times New Roman"/>
          <w:sz w:val="20"/>
          <w:szCs w:val="20"/>
          <w:color w:val="231F20"/>
        </w:rPr>
        <w:t>On February 2, 2026, we entered into an amendment to the Term Loan Credit Agreement and issued $600.0 million in aggregate principal amount of 8.250% Senior Secured Notes due February 1, 2031 (the “Senior Secured Notes”) and under the Indenture. Following the amendment, $900.0 million of principal remained on the Amended First Lien Term Loan, maturing on February 2, 2031.</w:t>
      </w:r>
    </w:p>
    <w:p>
      <w:pPr>
        <w:spacing w:after="0" w:line="194"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231F20"/>
        </w:rPr>
        <w:t>Please read “Management’s Discussion and Analysis of Financial Condition and Results of Operations—Liquidity and Capital Resources” for descriptions of the First Lien Term Loan and ABL Revolving Credit Facility.</w:t>
      </w:r>
    </w:p>
    <w:p>
      <w:pPr>
        <w:spacing w:after="0" w:line="308"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agreements governing our indebtedness include restrictive covenants that limit our operating flexibility, which could harm our long-term interests.</w:t>
      </w:r>
    </w:p>
    <w:p>
      <w:pPr>
        <w:spacing w:after="0" w:line="49"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231F20"/>
        </w:rPr>
        <w:t>The Indenture, the Term Loan Credit Agreement, and the ABL Credit Agreement all impose material restrictions on us. These restrictions, subject in certain cases to ordinary course of business and other exceptions, may limit our ability to engage in some transactions, including the following:</w:t>
      </w:r>
    </w:p>
    <w:p>
      <w:pPr>
        <w:spacing w:after="0" w:line="83" w:lineRule="exact"/>
        <w:rPr>
          <w:sz w:val="20"/>
          <w:szCs w:val="20"/>
          <w:color w:val="auto"/>
        </w:rPr>
      </w:pPr>
    </w:p>
    <w:p>
      <w:pPr>
        <w:ind w:left="980" w:hanging="490"/>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incurring additional debt;</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paying dividends, redeeming capital stock, or making other restricted payments or investments;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selling assets, properties, or licenses;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creating liens on assets;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entering into sale and lease-back transactions;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undergoing a change in control;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merging, consolidating, or disposing of substantially all assets;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entering into new lines of business;</w:t>
      </w:r>
    </w:p>
    <w:p>
      <w:pPr>
        <w:sectPr>
          <w:pgSz w:w="11880" w:h="15480" w:orient="portrait"/>
          <w:cols w:equalWidth="0" w:num="1">
            <w:col w:w="9300"/>
          </w:cols>
          <w:pgMar w:left="1260" w:top="880" w:right="1320" w:bottom="0" w:gutter="0" w:footer="0" w:header="0"/>
        </w:sect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9300"/>
          </w:cols>
          <w:pgMar w:left="1260" w:top="880" w:right="1320" w:bottom="0" w:gutter="0" w:footer="0" w:header="0"/>
          <w:type w:val="continuous"/>
        </w:sectPr>
      </w:pPr>
    </w:p>
    <w:bookmarkStart w:id="42" w:name="page43"/>
    <w:bookmarkEnd w:id="42"/>
    <w:p>
      <w:pPr>
        <w:ind w:left="980" w:hanging="490"/>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entering into transactions with affiliates;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placing restrictions on the ability of subsidiaries to pay dividends or make other payments.</w:t>
      </w:r>
    </w:p>
    <w:p>
      <w:pPr>
        <w:spacing w:after="0" w:line="239"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Any of these restrictions on our ability to operate our business in our discretion could adversely affect our business by, among other things, limiting our ability to adapt to changing economic, financial, or industry conditions and to take advantage of corporate opportunities, including opportunities to obtain debt financing, repurchase stock, refinance or pay principal on our outstanding debt, or complete acquisitions for cash or debt.</w:t>
      </w:r>
    </w:p>
    <w:p>
      <w:pPr>
        <w:spacing w:after="0" w:line="194"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231F20"/>
        </w:rPr>
        <w:t>Any future debt that we incur may contain financial maintenance covenants. In addition, the ABL Credit Agreement contains financial maintenance covenants that are triggered by certain conditions. Events beyond our control, including prevailing economic, financial, and industry conditions, could affect our ability to satisfy these financial maintenance covenants, and we cannot assure you that we will satisfy them.</w:t>
      </w:r>
    </w:p>
    <w:p>
      <w:pPr>
        <w:spacing w:after="0" w:line="19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Any failure to comply with the restrictions of the Indenture, the Term Loan Credit Agreement, the ABL Credit Agreement, and any subsequent financing agreements, including as a result of events beyond our control, may result in an event of default under these agreements, which in turn may result in defaults or acceleration of obligations under these agreements and other agreements, giving our lenders and other debt holders the right to terminate any commitments they may have made to provide us with further funds and to require us to repay all amounts then outstanding. Our assets and cash flow may not be sufficient to fully repay obligations existing under our outstanding debt instruments. In addition, we may not be able to refinance or restructure the payments on the applicable debt. Even if we were able to secure additional financing, it may not be available on favorable terms.</w:t>
      </w:r>
    </w:p>
    <w:p>
      <w:pPr>
        <w:spacing w:after="0" w:line="32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Despite current indebtedness levels, we may incur substantial additional indebtedness in the future. This could further increase the risks associated with our substantial leverage.</w:t>
      </w:r>
    </w:p>
    <w:p>
      <w:pPr>
        <w:spacing w:after="0" w:line="49"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31F20"/>
        </w:rPr>
        <w:t>We may incur substantial additional indebtedness in the future, which would increase our debt service obligations and could further reduce the cash available to invest in operations. The terms of the Indenture, the Term Loan Credit Agreement, and the ABL Credit Agreement allow us and our subsidiaries to incur additional indebtedness, subject to limitations. As of January 31, 2026, we and our subsidiaries had an additional $467.5 million of unused commitments available to be borrowed under the ABL Revolving Credit Facility. This amount is net of $58.4 million of outstanding letters of credit issued in the normal course of business and a $55.1 million borrowing base reduction for a shortfall in qualifying assets, net of reserves. If new debt is added to our debt levels, or any debt is incurred by our subsidiaries, the related risks that we and our subsidiaries now face could increase.</w:t>
      </w:r>
    </w:p>
    <w:p>
      <w:pPr>
        <w:spacing w:after="0" w:line="322" w:lineRule="exact"/>
        <w:rPr>
          <w:sz w:val="20"/>
          <w:szCs w:val="20"/>
          <w:color w:val="auto"/>
        </w:rPr>
      </w:pPr>
    </w:p>
    <w:p>
      <w:pPr>
        <w:ind w:right="5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To service our indebtedness, we require a significant amount of cash. Our ability to generate or access cash depends on many factors beyond our control.</w:t>
      </w:r>
    </w:p>
    <w:p>
      <w:pPr>
        <w:spacing w:after="0" w:line="49"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Our ability to make payments on and refinance our indebtedness, and to fund planned capital expenditures, depends on our ability to generate or access cash in the future. This ability is subject to general economic, financial (including prevailing interest rates), competitive, legislative, regulatory, and other factors that are beyond our control.</w:t>
      </w:r>
    </w:p>
    <w:p>
      <w:pPr>
        <w:spacing w:after="0" w:line="194"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31F20"/>
        </w:rPr>
        <w:t>We cannot assure you that our business will generate sufficient cash flows from operations or that future borrowings will be available to us under the ABL Revolving Credit Facility in an amount sufficient to enable us to pay our indebtedness or to fund our other liquidity needs. Further, we cannot assure you that we will be able to refinance any of our indebtedness, including the Senior Secured Notes, the First Lien Term Loan, and the ABL Revolving Credit Facility, on commercially reasonable terms, or at all.</w:t>
      </w:r>
    </w:p>
    <w:p>
      <w:pPr>
        <w:spacing w:after="0" w:line="317"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failure to comply with the covenants contained in the Indenture, Term Loan Credit Agreement and ABL Credit Agreement, including as a result of events beyond our control, could result in an event of default that could cause repayment of our debt to be accelerated.</w:t>
      </w:r>
    </w:p>
    <w:p>
      <w:pPr>
        <w:spacing w:after="0" w:line="68"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If we are not able to comply with the covenants and other requirements contained in the Indenture, the Term Loan Credit Agreement and the ABL Credit Agreement, or any other debt instruments, an event of default under the relevant debt instrument could occur. In addition to imposing restrictions on our business and operations, some of our debt instruments include covenants relating to financial ratios and tests. Our ability to comply with these covenants may be affected by events beyond our control, including prevailing economic, financial, and industry</w:t>
      </w:r>
    </w:p>
    <w:p>
      <w:pPr>
        <w:sectPr>
          <w:pgSz w:w="11880" w:h="15480" w:orient="portrait"/>
          <w:cols w:equalWidth="0" w:num="1">
            <w:col w:w="9360"/>
          </w:cols>
          <w:pgMar w:left="1260" w:top="894" w:right="1260"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9360"/>
          </w:cols>
          <w:pgMar w:left="1260" w:top="894" w:right="1260" w:bottom="0" w:gutter="0" w:footer="0" w:header="0"/>
          <w:type w:val="continuous"/>
        </w:sectPr>
      </w:pPr>
    </w:p>
    <w:bookmarkStart w:id="43" w:name="page44"/>
    <w:bookmarkEnd w:id="43"/>
    <w:p>
      <w:pPr>
        <w:ind w:right="140"/>
        <w:spacing w:after="0" w:line="246" w:lineRule="auto"/>
        <w:rPr>
          <w:sz w:val="20"/>
          <w:szCs w:val="20"/>
          <w:color w:val="auto"/>
        </w:rPr>
      </w:pPr>
      <w:r>
        <w:rPr>
          <w:rFonts w:ascii="Times New Roman" w:cs="Times New Roman" w:eastAsia="Times New Roman" w:hAnsi="Times New Roman"/>
          <w:sz w:val="20"/>
          <w:szCs w:val="20"/>
          <w:color w:val="231F20"/>
        </w:rPr>
        <w:t>conditions. The breach of any of these covenants would result in a default under these instruments. If an event of default does occur under one of these agreements, it could trigger a default under our other debt instruments, prohibit us from accessing additional borrowings, and permit the holders of the defaulted debt to declare amounts outstanding with respect to that debt to be immediately due and payable. Our assets and cash flows may not be sufficient to fully repay borrowings under our outstanding debt instruments. In addition, we may not be able to refinance or restructure the payments on the applicable debt. Even if we were able to secure additional financing, it may not be available on favorable terms.</w:t>
      </w:r>
    </w:p>
    <w:p>
      <w:pPr>
        <w:spacing w:after="0" w:line="32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amount of borrowings permitted under the ABL Revolving Credit Facility may fluctuate significantly, which may adversely affect our liquidity, results of operations, and financial position.</w:t>
      </w:r>
    </w:p>
    <w:p>
      <w:pPr>
        <w:spacing w:after="0" w:line="49"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231F20"/>
        </w:rPr>
        <w:t>The amount of borrowings permitted at any one time under the ABL Revolving Credit Facility is subject to a borrowing base valuation of the collateral thereunder, net of certain reserves. As a result, our access to credit under the ABL Revolving Credit Facility is potentially subject to significant fluctuations depending on the value of the borrowing base of eligible assets as of any measurement date, as well as certain discretionary rights of the agents in respect of the calculation of such borrowing base value. The inability to borrow under the ABL Revolving Credit Facility may adversely affect our liquidity, results of operations, and financial position.</w:t>
      </w:r>
    </w:p>
    <w:p>
      <w:pPr>
        <w:spacing w:after="0" w:line="32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variable rate indebtedness subjects us to interest rate risk, which has caused, and may continue to cause, our indebtedness service obligations to increase significantly.</w:t>
      </w:r>
    </w:p>
    <w:p>
      <w:pPr>
        <w:spacing w:after="0" w:line="49"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Borrowings under the First Lien Term Loan and ABL Revolving Credit Facility are at variable rates of interest and expose us to interest rate risk. Due to elevated interest rates, our debt service obligations on the variable rate indebtedness have increased even though the amount borrowed remains the same, and our net income and cash flows, including cash available for servicing our indebtedness, have correspondingly decreased. If interest rates continue to rise in the future, our liquidity, results of operations, and financial position may be further adversely affected. Although we have entered into agreements capping portions of our exposure to higher interest rates, these agreements may not prove to be effective in the aggregate, as a significant portion of our variable rate debt remains uncapped.</w:t>
      </w:r>
    </w:p>
    <w:p>
      <w:pPr>
        <w:spacing w:after="0" w:line="322" w:lineRule="exact"/>
        <w:rPr>
          <w:sz w:val="20"/>
          <w:szCs w:val="20"/>
          <w:color w:val="auto"/>
        </w:rPr>
      </w:pPr>
    </w:p>
    <w:p>
      <w:pPr>
        <w:jc w:val="both"/>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will need to repay or refinance borrowings under the ABL Revolving Credit Facility prior to maturity of the First Lien Term Loan and Senior Secured Notes. Failure to do so could have a material adverse effect upon us.</w:t>
      </w:r>
    </w:p>
    <w:p>
      <w:pPr>
        <w:spacing w:after="0" w:line="27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Prior to the maturity of the Senior Secured Notes and the First Lien Term Loan, we will need to repay, refinance, replace, or otherwise extend the maturity of the ABL Revolving Credit Facility. Our ability to repay, refinance, replace, or extend will be dependent on, among other things, business conditions, our financial performance, and the general condition of the financial markets. If a financial disruption were to occur at the time that we are required to repay indebtedness outstanding under the ABL Revolving Credit Facility, we could be forced to undertake alternate financings, negotiate for an extension of the maturity of the ABL Revolving Credit Facility, or sell assets and delay capital expenditures in order to generate proceeds that could be used to repay such indebtedness. We cannot assure you that we will be able to consummate any such transaction on terms that are commercially reasonable, on terms acceptable to us, or at all. Our failure to repay, refinance, replace, or otherwise extend the maturity of the ABL Revolving Credit Facility could result in an event of default under the Indenture, the Term Loan Credit Agreement and ABL Credit Agreement, which could lead to an acceleration or repayment of substantially all of our outstanding indebtedness.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Class A Common Stock</w:t>
      </w:r>
    </w:p>
    <w:p>
      <w:pPr>
        <w:spacing w:after="0" w:line="124"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Sponsors have significant influence over us, including control over decisions that require the approval of stockholders, which could limit your ability to influence the outcome of matters submitted to stockholders for a vote.</w:t>
      </w:r>
    </w:p>
    <w:p>
      <w:pPr>
        <w:spacing w:after="0" w:line="6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We are currently controlled by our Sponsors through our Principal Stockholder. Our Principal Stockholder currently controls approximately 65% of the outstanding voting power of our company. As long as our Sponsors beneficially own or control at least a majority of our outstanding voting power, they have the ability to exercise substantial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w:t>
      </w:r>
    </w:p>
    <w:p>
      <w:pPr>
        <w:sectPr>
          <w:pgSz w:w="11880" w:h="15480" w:orient="portrait"/>
          <w:cols w:equalWidth="0" w:num="1">
            <w:col w:w="9360"/>
          </w:cols>
          <w:pgMar w:left="1260" w:top="880" w:right="1260" w:bottom="0"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9360"/>
          </w:cols>
          <w:pgMar w:left="1260" w:top="880" w:right="1260" w:bottom="0" w:gutter="0" w:footer="0" w:header="0"/>
          <w:type w:val="continuous"/>
        </w:sectPr>
      </w:pPr>
    </w:p>
    <w:bookmarkStart w:id="44" w:name="page45"/>
    <w:bookmarkEnd w:id="44"/>
    <w:p>
      <w:pPr>
        <w:ind w:right="180"/>
        <w:spacing w:after="0" w:line="258" w:lineRule="auto"/>
        <w:rPr>
          <w:sz w:val="20"/>
          <w:szCs w:val="20"/>
          <w:color w:val="auto"/>
        </w:rPr>
      </w:pPr>
      <w:r>
        <w:rPr>
          <w:rFonts w:ascii="Times New Roman" w:cs="Times New Roman" w:eastAsia="Times New Roman" w:hAnsi="Times New Roman"/>
          <w:sz w:val="20"/>
          <w:szCs w:val="20"/>
          <w:color w:val="231F20"/>
        </w:rPr>
        <w:t>transaction, including a sale of substantially all of our assets. They also have certain rights under the stockholders’ agreement with us. Therefore, even if their ownership falls below 50%, our Sponsors will continue to be able to strongly influence or effectively control our decisions.</w:t>
      </w:r>
    </w:p>
    <w:p>
      <w:pPr>
        <w:spacing w:after="0" w:line="18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Additionally, our Sponsors’ interests may not align with the interests of our other stockholders. Our Sponsors and other investment funds affiliated with them are in the business of making investments in companies and may acquire and hold interests in businesses that compete directly or indirectly with us. Our Sponsors and other investment funds affiliated with them may also pursue acquisition opportunities that may be complementary to our business, and, as a result, those acquisition opportunities may not be available to us.</w:t>
      </w:r>
    </w:p>
    <w:p>
      <w:pPr>
        <w:spacing w:after="0" w:line="31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We are a “controlled company” within the meaning of the Nasdaq rules and, as a result, qualify for, and rely on, exemptions from certain corporate governance requirements. Accordingly, the holders of our Class A common stock do not have the same protections as those afforded to stockholders of companies that are subject to such governance requirements.</w:t>
      </w:r>
    </w:p>
    <w:p>
      <w:pPr>
        <w:spacing w:after="0" w:line="7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Our Sponsors, through our Principal Stockholder, control a majority of the voting power of our common stock with respect to director elections. As a result, we are a “controlled company” within the meaning of the corporate governance standards of Nasdaq. Under these rules, a company of which more than 50% of the voting power with respect to director elections is held by an individual, group, or another company is a “controlled company” and may elect not to comply with certain corporate governance requirements, including:</w:t>
      </w:r>
    </w:p>
    <w:p>
      <w:pPr>
        <w:spacing w:after="0" w:line="91" w:lineRule="exact"/>
        <w:rPr>
          <w:sz w:val="20"/>
          <w:szCs w:val="20"/>
          <w:color w:val="auto"/>
        </w:rPr>
      </w:pPr>
    </w:p>
    <w:p>
      <w:pPr>
        <w:ind w:left="980" w:hanging="490"/>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requirement that a majority of the board of directors consist of independent directors;</w:t>
      </w:r>
    </w:p>
    <w:p>
      <w:pPr>
        <w:spacing w:after="0" w:line="133" w:lineRule="exact"/>
        <w:rPr>
          <w:rFonts w:ascii="Arial" w:cs="Arial" w:eastAsia="Arial" w:hAnsi="Arial"/>
          <w:sz w:val="20"/>
          <w:szCs w:val="20"/>
          <w:color w:val="231F20"/>
        </w:rPr>
      </w:pPr>
    </w:p>
    <w:p>
      <w:pPr>
        <w:ind w:left="980" w:right="460" w:hanging="490"/>
        <w:spacing w:after="0" w:line="276" w:lineRule="auto"/>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requirement that our nominating and corporate governance committee be composed entirely of independent directors; and</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requirement that our compensation committee be composed entirely of independent directors.</w:t>
      </w:r>
    </w:p>
    <w:p>
      <w:pPr>
        <w:spacing w:after="0" w:line="239"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We currently utilize all of these exemptions. As a result, we do not have a majority of independent directors serving on our board of directors and neither our compensation committee nor our nominating and corporate governance committee consist entirely of independent directors. Accordingly, you do not have the same protections afforded to stockholders of companies that are subject to all of the corporate governance requirements of Nasdaq.</w:t>
      </w:r>
    </w:p>
    <w:p>
      <w:pPr>
        <w:spacing w:after="0" w:line="314"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Certain of our directors have relationships with our Sponsors, which may cause conflicts of interest with respect to our business.</w:t>
      </w:r>
    </w:p>
    <w:p>
      <w:pPr>
        <w:spacing w:after="0" w:line="49"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231F20"/>
        </w:rPr>
        <w:t>Four of our ten directors are affiliated with our Sponsors, and our Sponsors have a right to designate a majority of our directors under the stockholders’ agreement we have with them. These directors have fiduciary duties to us and, in addition, have duties to the applicable Sponsor or stockholder affiliate. As a result, these directors may face real or apparent conflicts of interest with respect to matters affecting both us and the affiliated Sponsors, whose interests may be adverse to ours in some circumstances. In addition, we waived certain of these duties to the fullest extent permitted by Delaware law pursuant to the corporate opportunity waiver included in our certificate of incorporation.</w:t>
      </w:r>
    </w:p>
    <w:p>
      <w:pPr>
        <w:spacing w:after="0" w:line="320"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Anti-takeover provisions in our charter documents and under Delaware law could make an acquisition of us more difficult, limit attempts by our stockholders to replace or remove our current management, and may adversely affect the market price of our stock.</w:t>
      </w:r>
    </w:p>
    <w:p>
      <w:pPr>
        <w:spacing w:after="0" w:line="68"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231F20"/>
        </w:rPr>
        <w:t>Provisions in our certificate of incorporation and bylaws may have the effect of delaying or preventing a change of control or changes in our management. Our certificate of incorporation and bylaws include provisions that:</w:t>
      </w:r>
    </w:p>
    <w:p>
      <w:pPr>
        <w:spacing w:after="0" w:line="83" w:lineRule="exact"/>
        <w:rPr>
          <w:sz w:val="20"/>
          <w:szCs w:val="20"/>
          <w:color w:val="auto"/>
        </w:rPr>
      </w:pPr>
    </w:p>
    <w:p>
      <w:pPr>
        <w:jc w:val="both"/>
        <w:ind w:left="980" w:right="140" w:hanging="490"/>
        <w:spacing w:after="0" w:line="258"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provide that, except with regard to directors nominated by our Principal Stockholder, vacancies on our board of directors shall be filled only by a majority of directors then in office, even though less than a quorum, or by a sole remaining director;</w:t>
      </w:r>
    </w:p>
    <w:p>
      <w:pPr>
        <w:spacing w:after="0" w:line="81" w:lineRule="exact"/>
        <w:rPr>
          <w:rFonts w:ascii="Arial" w:cs="Arial" w:eastAsia="Arial" w:hAnsi="Arial"/>
          <w:sz w:val="20"/>
          <w:szCs w:val="20"/>
          <w:color w:val="231F20"/>
        </w:rPr>
      </w:pPr>
    </w:p>
    <w:p>
      <w:pPr>
        <w:ind w:left="980" w:right="440" w:hanging="490"/>
        <w:spacing w:after="0" w:line="276"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that our board of directors is divided into three classes, with each class serving three-year staggered terms;</w:t>
      </w:r>
    </w:p>
    <w:p>
      <w:pPr>
        <w:spacing w:after="0" w:line="64" w:lineRule="exact"/>
        <w:rPr>
          <w:rFonts w:ascii="Arial" w:cs="Arial" w:eastAsia="Arial" w:hAnsi="Arial"/>
          <w:sz w:val="20"/>
          <w:szCs w:val="20"/>
          <w:color w:val="231F20"/>
        </w:rPr>
      </w:pPr>
    </w:p>
    <w:p>
      <w:pPr>
        <w:ind w:left="980" w:right="120" w:hanging="490"/>
        <w:spacing w:after="0" w:line="276" w:lineRule="auto"/>
        <w:tabs>
          <w:tab w:leader="none" w:pos="98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provide that our directors can be removed for cause only, once our Principal Stockholder (including its permitted transferees under the stockholder’s agreement with our Principal Stockholder (the</w:t>
      </w:r>
    </w:p>
    <w:p>
      <w:pPr>
        <w:sectPr>
          <w:pgSz w:w="11880" w:h="15480" w:orient="portrait"/>
          <w:cols w:equalWidth="0" w:num="1">
            <w:col w:w="9320"/>
          </w:cols>
          <w:pgMar w:left="1260" w:top="880" w:right="1300" w:bottom="0" w:gutter="0" w:footer="0" w:header="0"/>
        </w:sect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9320"/>
          </w:cols>
          <w:pgMar w:left="1260" w:top="880" w:right="1300" w:bottom="0" w:gutter="0" w:footer="0" w:header="0"/>
          <w:type w:val="continuous"/>
        </w:sectPr>
      </w:pPr>
    </w:p>
    <w:bookmarkStart w:id="45" w:name="page46"/>
    <w:bookmarkEnd w:id="45"/>
    <w:p>
      <w:pPr>
        <w:ind w:left="980" w:right="520"/>
        <w:spacing w:after="0" w:line="277" w:lineRule="auto"/>
        <w:rPr>
          <w:sz w:val="20"/>
          <w:szCs w:val="20"/>
          <w:color w:val="auto"/>
        </w:rPr>
      </w:pPr>
      <w:r>
        <w:rPr>
          <w:rFonts w:ascii="Times New Roman" w:cs="Times New Roman" w:eastAsia="Times New Roman" w:hAnsi="Times New Roman"/>
          <w:sz w:val="20"/>
          <w:szCs w:val="20"/>
          <w:color w:val="231F20"/>
        </w:rPr>
        <w:t>“stockholder’s agreement”)) no longer beneficially owns 50% or more of our outstanding Class A common stock and Class B-1 common stock;</w:t>
      </w:r>
    </w:p>
    <w:p>
      <w:pPr>
        <w:spacing w:after="0" w:line="64" w:lineRule="exact"/>
        <w:rPr>
          <w:sz w:val="20"/>
          <w:szCs w:val="20"/>
          <w:color w:val="auto"/>
        </w:rPr>
      </w:pPr>
    </w:p>
    <w:p>
      <w:pPr>
        <w:ind w:left="980" w:right="40" w:hanging="490"/>
        <w:spacing w:after="0" w:line="249"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provide that, once our Principal Stockholder (including its permitted transferees under the stockholder’s agreement) no longer beneficially owns 50% or more of our outstanding Class A common stock and Class B-1 common stock, any action required or permitted to be taken by the stockholders must be effected at a duly called annual or special meeting of stockholders and may not be effected by any consent in writing in lieu of a meeting of such stockholders;</w:t>
      </w:r>
    </w:p>
    <w:p>
      <w:pPr>
        <w:spacing w:after="0" w:line="90" w:lineRule="exact"/>
        <w:rPr>
          <w:rFonts w:ascii="Arial" w:cs="Arial" w:eastAsia="Arial" w:hAnsi="Arial"/>
          <w:sz w:val="20"/>
          <w:szCs w:val="20"/>
          <w:color w:val="231F20"/>
        </w:rPr>
      </w:pPr>
    </w:p>
    <w:p>
      <w:pPr>
        <w:ind w:left="980" w:right="40" w:hanging="490"/>
        <w:spacing w:after="0" w:line="24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specify that, once our Principal Stockholder (including its permitted transferees under the stockholder’s agreement) no longer beneficially owns 50% or more of our outstanding Class A common stock and Class B-1 common stock, special meetings of our stockholders can be called only by our board of directors, or the Chairman of our board of directors (prior to such time, special meetings of the stockholders of our company shall be called by the Chairman of our board of directors or our Secretary at the request of our Principal Stockholder, in addition to being able to be called by the Chairman of our board of directors and by our board of directors);</w:t>
      </w:r>
    </w:p>
    <w:p>
      <w:pPr>
        <w:spacing w:after="0" w:line="93" w:lineRule="exact"/>
        <w:rPr>
          <w:rFonts w:ascii="Arial" w:cs="Arial" w:eastAsia="Arial" w:hAnsi="Arial"/>
          <w:sz w:val="20"/>
          <w:szCs w:val="20"/>
          <w:color w:val="231F20"/>
        </w:rPr>
      </w:pPr>
    </w:p>
    <w:p>
      <w:pPr>
        <w:ind w:left="980" w:right="240" w:hanging="490"/>
        <w:spacing w:after="0" w:line="249"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require the approval of the holders of at least two-thirds of the voting power of all outstanding stock entitled to vote thereon, voting together as a single class, to amend or repeal our bylaws and certain articles of our certificate of incorporation once our Principal Stockholder (including its permitted transferees under the stockholder’s agreement) ceases to beneficially own at least 50% of the Class A common stock and Class B-1 common stock;</w:t>
      </w:r>
    </w:p>
    <w:p>
      <w:pPr>
        <w:spacing w:after="0" w:line="90" w:lineRule="exact"/>
        <w:rPr>
          <w:rFonts w:ascii="Arial" w:cs="Arial" w:eastAsia="Arial" w:hAnsi="Arial"/>
          <w:sz w:val="20"/>
          <w:szCs w:val="20"/>
          <w:color w:val="231F20"/>
        </w:rPr>
      </w:pPr>
    </w:p>
    <w:p>
      <w:pPr>
        <w:ind w:left="980" w:hanging="490"/>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establish an advance notice procedure for stockholder proposals to be brought before an annual meeting, including proposed nominations of persons for election to our board of directors;</w:t>
      </w:r>
    </w:p>
    <w:p>
      <w:pPr>
        <w:spacing w:after="0" w:line="64" w:lineRule="exact"/>
        <w:rPr>
          <w:rFonts w:ascii="Arial" w:cs="Arial" w:eastAsia="Arial" w:hAnsi="Arial"/>
          <w:sz w:val="20"/>
          <w:szCs w:val="20"/>
          <w:color w:val="231F20"/>
        </w:rPr>
      </w:pPr>
    </w:p>
    <w:p>
      <w:pPr>
        <w:ind w:left="980" w:right="900" w:hanging="490"/>
        <w:spacing w:after="0" w:line="276" w:lineRule="auto"/>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authorize our board of directors to issue, without further action by the stockholders, shares of undesignated preferred stock; and</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reflect three classes of common stock.</w:t>
      </w:r>
    </w:p>
    <w:p>
      <w:pPr>
        <w:spacing w:after="0" w:line="23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 governed by the Delaware General Corporation Law (the “DGCL”). In general, Section 203 of the DGCL, an anti-takeover law, prohibits a publicly held 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 We have elected in our certificate of incorporation not to be subject to Section 203. However, our certificate of incorporation contains provisions that have the same effect as Section 203, except that they provide our Sponsors, our Principal Stockholder, their affiliates, and their respective successors (other than our company), as well as their direct and indirect transferees, are not deemed to be “interested stockholders,” regardless of the percentage of our voting stock owned by them, and accordingly will not be subject to such restrictions. For additional details, please read Exhibit 4.3 to this Annual Report on Form 10-K.</w:t>
      </w:r>
    </w:p>
    <w:p>
      <w:pPr>
        <w:spacing w:after="0" w:line="33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Since we have no current plans to pay regular cash dividends on our Class A common stock, you may not receive any return on investment unless you sell your Class A common stock for a price greater than that which you paid for it.</w:t>
      </w:r>
    </w:p>
    <w:p>
      <w:pPr>
        <w:spacing w:after="0" w:line="6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We have not paid, and do not anticipate paying, any regular cash dividends on our Class A common stock. Any decision to declare and pay dividends in the future will be made at the discretion of our board of directors and will depend on, among other things, our financial condition, results of operations, cash requirements, contractual restrictions, and other factors that our board of directors may deem relevant. In addition, our ability to pay dividends is, and may be, limited by covenants of existing and any future outstanding indebtedness we or our subsidiaries incur, including under the Amended First Lien Term Loan and ABL Revolving Credit Facility, as well as by the terms of our stockholder’s agreement. Therefore, any return on investment in our Class A common stock is solely dependent upon the appreciation of the price of our Class A common stock on the open market, which may not occur. Please read “Dividend Policy” for more detail.</w:t>
      </w:r>
    </w:p>
    <w:p>
      <w:pPr>
        <w:sectPr>
          <w:pgSz w:w="11880" w:h="15480" w:orient="portrait"/>
          <w:cols w:equalWidth="0" w:num="1">
            <w:col w:w="9340"/>
          </w:cols>
          <w:pgMar w:left="1260" w:top="880" w:right="1280"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9340"/>
          </w:cols>
          <w:pgMar w:left="1260" w:top="880" w:right="1280" w:bottom="0" w:gutter="0" w:footer="0" w:header="0"/>
          <w:type w:val="continuous"/>
        </w:sectPr>
      </w:pPr>
    </w:p>
    <w:bookmarkStart w:id="46" w:name="page47"/>
    <w:bookmarkEnd w:id="46"/>
    <w:p>
      <w:pPr>
        <w:ind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a holding company with nominal net worth and will depend on dividends and distributions from our subsidiaries to pay any dividends.</w:t>
      </w:r>
    </w:p>
    <w:p>
      <w:pPr>
        <w:spacing w:after="0" w:line="49"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31F20"/>
        </w:rPr>
        <w:t>Petco Health and Wellness Company, Inc. and certain of our subsidiaries are holding companies with nominal net worth. We do not have any material assets or conduct any business operations other than our investments in our subsidiaries. Our business operations are conducted primarily out of our indirect operating subsidiary, Petco Animal Supplies Stores, Inc. and certain of its subsidiaries. As a result, in addition to the restrictions on payment of dividends that apply under the terms of our existing indebtedness, our ability to pay dividends, if any, will be dependent upon cash dividends and distributions or other transfers from our subsidiaries. Payments to us by our subsidiaries will be contingent upon their respective earnings and subject to any limitations on the ability of such entities to make payments or other distributions to us.</w:t>
      </w:r>
    </w:p>
    <w:p>
      <w:pPr>
        <w:spacing w:after="0" w:line="32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multi-class structure of our common stock may adversely affect the trading market for our Class A common stock.</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Although S&amp;P Dow Jones has since revised its eligibility criteria to again permit companies with multiple classes of common stock to be added to its indices, including the S&amp;P 500, the S&amp;P MidCap 400, and the S&amp;P SmallCap 600, there can be no assurances that such companies will remain eligible. As a result, our multi-class capital structure makes us ineligible for inclusion from certain indices, and mutual funds, exchange-traded funds and other investment vehicles that attempt to passively track these indices will not be investing in our stock. Further, we cannot assure you that other stock indices will not take a similar approach to FTSE Russell in the future. Exclusion from indices could make our Class A common stock less attractive to investors and, as a result, the market price of our Class A common stock could be adversely affected.</w:t>
      </w:r>
    </w:p>
    <w:p>
      <w:pPr>
        <w:spacing w:after="0" w:line="32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Our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other employees, or agents.</w:t>
      </w:r>
    </w:p>
    <w:p>
      <w:pPr>
        <w:spacing w:after="0" w:line="77"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Our certificate of incorporation provides that, unless we, in writing, select or consent to the selection of an alternative forum, all complaints asserting any internal corporate claims (defined as claims, including claims in the right of our company: (i) that are based upon a violation of a duty by a current or former director, officer, employee, or stockholder in such capacity; or (ii) as to which the DGCL confers jurisdiction upon the Court of Chancery), to the fullest extent permitted by law, and subject to applicable jurisdictional requirements, shall be made in the Court of Chancery of the State of Delaware (or, if the Court of Chancery does not have, or declines to accept, subject matter jurisdiction, another state court or a federal court located within the State of Delaware). Further, unless we select or consent to the selection of an alternative forum, the federal district courts of the United States shall be the exclusive forum for the resolution of any complaint asserting a cause of action arising under the Securities Act. Our choice-of-forum provision does not apply to suits brought to enforce any liability or duty created by the Exchange Act, and investors cannot waive compliance with the federal securities laws and the rules and regulations thereunder. Any person or entity purchasing or otherwise acquiring or holding any interest in our common stock shall be deemed to have notice of and to have consented to the forum selection provisions described in our certificate of incorporation. These choice-of-forum provisions may limit a stockholder’s ability to bring a claim in a judicial forum that it finds favorable for disputes with us or our directors, officers or other employees, which may discourage such lawsuits against us and such persons. It is possible that a court may find these provisions of our certificate of incorporation inapplicable to, or unenforceable in respect of, one or more of the specified types of actions or proceedings, in which case we may incur additional costs associated with resolving such matters in other jurisdictions, which could materially adversely affect our business, financial condition, or results of operations and result in a diversion of the time and resources of our management and board of directors.</w:t>
      </w:r>
    </w:p>
    <w:p>
      <w:pPr>
        <w:spacing w:after="0" w:line="32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 ratings downgrade or other negative action by a ratings organization could adversely affect the trading price of the shares of our Class A common stock.</w:t>
      </w:r>
    </w:p>
    <w:p>
      <w:pPr>
        <w:spacing w:after="0" w:line="49"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231F20"/>
        </w:rPr>
        <w:t>Credit rating agencies continually revise their ratings for companies they follow, and we have faced, and may continue to face, downgrades from credit rating agencies. The condition of the financial and credit markets and</w:t>
      </w:r>
    </w:p>
    <w:p>
      <w:pPr>
        <w:sectPr>
          <w:pgSz w:w="11880" w:h="15480" w:orient="portrait"/>
          <w:cols w:equalWidth="0" w:num="1">
            <w:col w:w="9320"/>
          </w:cols>
          <w:pgMar w:left="1260" w:top="880" w:right="1300" w:bottom="0" w:gutter="0" w:footer="0" w:header="0"/>
        </w:sect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9320"/>
          </w:cols>
          <w:pgMar w:left="1260" w:top="880" w:right="1300" w:bottom="0" w:gutter="0" w:footer="0" w:header="0"/>
          <w:type w:val="continuous"/>
        </w:sectPr>
      </w:pPr>
    </w:p>
    <w:bookmarkStart w:id="47" w:name="page48"/>
    <w:bookmarkEnd w:id="47"/>
    <w:p>
      <w:pPr>
        <w:spacing w:after="0" w:line="247" w:lineRule="auto"/>
        <w:rPr>
          <w:sz w:val="20"/>
          <w:szCs w:val="20"/>
          <w:color w:val="auto"/>
        </w:rPr>
      </w:pPr>
      <w:r>
        <w:rPr>
          <w:rFonts w:ascii="Times New Roman" w:cs="Times New Roman" w:eastAsia="Times New Roman" w:hAnsi="Times New Roman"/>
          <w:sz w:val="20"/>
          <w:szCs w:val="20"/>
          <w:color w:val="231F20"/>
        </w:rPr>
        <w:t>prevailing interest rates have fluctuated in the past and are likely to fluctuate in the future. In addition, developments in our business and operations, including with respect to sustainability matters, could lead to further ratings downgrades for us or our subsidiaries. Any fluctuation in the rating of us or our subsidiaries may impact our ability to access debt markets in the future or increase our cost of future debt, which could have a material adverse effect on our operations and financial condition and may adversely affect the trading price of shares of our Class A common stock.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 Risk Factors</w:t>
      </w:r>
    </w:p>
    <w:p>
      <w:pPr>
        <w:spacing w:after="0" w:line="36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operating results and share price may be volatile, and the market price of our Class A common stock may drop.</w:t>
      </w:r>
    </w:p>
    <w:p>
      <w:pPr>
        <w:spacing w:after="0" w:line="4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has, and could continue to, subject the market price of our shares to wide price fluctuations regardless of our operating performance. You may not be able to resell your shares at or above the price that you paid for them, or at all. Our operating results and the trading price of our shares may fluctuate in response to various factors, including:</w:t>
      </w:r>
    </w:p>
    <w:p>
      <w:pPr>
        <w:spacing w:after="0" w:line="94" w:lineRule="exact"/>
        <w:rPr>
          <w:sz w:val="20"/>
          <w:szCs w:val="20"/>
          <w:color w:val="auto"/>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market conditions in the broader stock market;</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actual or anticipated fluctuations in our quarterly financial and operating results;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introduction of new products or services by us or our competitors;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issuance of new or changed securities analysts’ reports or recommendations;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debt ratings;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results of operations that vary from expectations of securities analysts and investors;</w:t>
      </w:r>
    </w:p>
    <w:p>
      <w:pPr>
        <w:spacing w:after="0" w:line="133" w:lineRule="exact"/>
        <w:rPr>
          <w:rFonts w:ascii="Arial" w:cs="Arial" w:eastAsia="Arial" w:hAnsi="Arial"/>
          <w:sz w:val="20"/>
          <w:szCs w:val="20"/>
          <w:color w:val="231F20"/>
        </w:rPr>
      </w:pPr>
    </w:p>
    <w:p>
      <w:pPr>
        <w:ind w:left="980" w:right="200" w:hanging="490"/>
        <w:spacing w:after="0" w:line="276"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guidance, if any, that we provide to the public, any changes in this guidance or our failure to meet this guidance;</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strategic actions by us or our competitors;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announcements by us, our competitors, or our vendors of significant contracts or acquisitions;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sales, or anticipated sales, of large blocks of our stock;</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additions or departures of key personnel;</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regulatory, legal, or political developments;</w:t>
      </w:r>
    </w:p>
    <w:p>
      <w:pPr>
        <w:spacing w:after="0" w:line="133" w:lineRule="exact"/>
        <w:rPr>
          <w:rFonts w:ascii="Arial" w:cs="Arial" w:eastAsia="Arial" w:hAnsi="Arial"/>
          <w:sz w:val="20"/>
          <w:szCs w:val="20"/>
          <w:color w:val="231F20"/>
        </w:rPr>
      </w:pPr>
    </w:p>
    <w:p>
      <w:pPr>
        <w:ind w:left="980" w:right="360" w:hanging="490"/>
        <w:spacing w:after="0" w:line="276"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public response to press releases or other public announcements by us or third parties, including our filings with the SEC;</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litigation and governmental investigations;</w:t>
      </w:r>
    </w:p>
    <w:p>
      <w:pPr>
        <w:spacing w:after="0" w:line="133" w:lineRule="exact"/>
        <w:rPr>
          <w:rFonts w:ascii="Arial" w:cs="Arial" w:eastAsia="Arial" w:hAnsi="Arial"/>
          <w:sz w:val="20"/>
          <w:szCs w:val="20"/>
          <w:color w:val="231F20"/>
        </w:rPr>
      </w:pPr>
    </w:p>
    <w:p>
      <w:pPr>
        <w:ind w:left="980" w:right="680" w:hanging="490"/>
        <w:spacing w:after="0" w:line="276"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changing economic and geopolitical conditions, including interest rates, tariffs, financial market uncertainty, and government shutdowns;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accounting principles;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default under agreements governing our indebtedness; and</w:t>
      </w:r>
    </w:p>
    <w:p>
      <w:pPr>
        <w:spacing w:after="0" w:line="133" w:lineRule="exact"/>
        <w:rPr>
          <w:rFonts w:ascii="Arial" w:cs="Arial" w:eastAsia="Arial" w:hAnsi="Arial"/>
          <w:sz w:val="20"/>
          <w:szCs w:val="20"/>
          <w:color w:val="231F20"/>
        </w:rPr>
      </w:pPr>
    </w:p>
    <w:p>
      <w:pPr>
        <w:ind w:left="980" w:right="380" w:hanging="490"/>
        <w:spacing w:after="0" w:line="276" w:lineRule="auto"/>
        <w:tabs>
          <w:tab w:leader="none" w:pos="98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other events or factors, including those from severe weather events, natural disasters, pandemic, pet disease, war, acts of terrorism, or responses to these events.</w:t>
      </w:r>
    </w:p>
    <w:p>
      <w:pPr>
        <w:spacing w:after="0" w:line="17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These and other factors, many of which are beyond our control, may cause our operating results and the market price and demand for our shares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our shares. In addition, in the past, a securities class action litigation has been brought against the Company in connection with the volatility of our stock price. If any of our stockholders brought a similar</w:t>
      </w:r>
    </w:p>
    <w:p>
      <w:pPr>
        <w:sectPr>
          <w:pgSz w:w="11880" w:h="15480" w:orient="portrait"/>
          <w:cols w:equalWidth="0" w:num="1">
            <w:col w:w="9340"/>
          </w:cols>
          <w:pgMar w:left="1260" w:top="880" w:right="1280" w:bottom="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9340"/>
          </w:cols>
          <w:pgMar w:left="1260" w:top="880" w:right="1280" w:bottom="0" w:gutter="0" w:footer="0" w:header="0"/>
          <w:type w:val="continuous"/>
        </w:sectPr>
      </w:pPr>
    </w:p>
    <w:bookmarkStart w:id="48" w:name="page49"/>
    <w:bookmarkEnd w:id="48"/>
    <w:p>
      <w:pPr>
        <w:ind w:right="20"/>
        <w:spacing w:after="0" w:line="258" w:lineRule="auto"/>
        <w:rPr>
          <w:sz w:val="20"/>
          <w:szCs w:val="20"/>
          <w:color w:val="auto"/>
        </w:rPr>
      </w:pPr>
      <w:r>
        <w:rPr>
          <w:rFonts w:ascii="Times New Roman" w:cs="Times New Roman" w:eastAsia="Times New Roman" w:hAnsi="Times New Roman"/>
          <w:sz w:val="20"/>
          <w:szCs w:val="20"/>
          <w:color w:val="231F20"/>
        </w:rPr>
        <w:t>lawsuit against us in the future, we could incur substantial costs defending and/or settling the lawsuit. Such a lawsuit could also divert the time and attention of our management from our business, which could significantly harm our profitability and reputation.</w:t>
      </w:r>
    </w:p>
    <w:p>
      <w:pPr>
        <w:spacing w:after="0" w:line="308"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Your percentage ownership in us may be diluted by future issuances of capital stock, which could reduce your influence over matters on which stockholders vote.</w:t>
      </w:r>
    </w:p>
    <w:p>
      <w:pPr>
        <w:spacing w:after="0" w:line="4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Pursuant to our certificate of incorporation and bylaws, our board of directors has the authority, without action or vote of our stockholders, to issue all or any part of our authorized but unissued shares of common stock, including shares issuable upon the exercise of options, or shares of our authorized but unissued preferred stock. Issuances of common stock or voting preferred stock would reduce your influence over matters on which our stockholders vote and, in the case of issuances of preferred stock, would likely result in your interest in us being subject to the prior rights of holders of that preferred stock. Moreover, the ability of holders of Class B-1 common stock to convert each of their shares into one share of Class A common stock, subject to the transfer to us of an equivalent number of shares of Class B-2 common stock, may increase the number of outstanding shares of Class A common stock; however, such conversion rights will not dilute or otherwise affect the voting rights of the holders of Class A common stock because Class B-1 common stock and Class B-2 common stock taken on a combined basis will have the same voting rights as Class A common stock.</w:t>
      </w:r>
    </w:p>
    <w:p>
      <w:pPr>
        <w:spacing w:after="0" w:line="329"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 significant portion of our total outstanding shares may be sold into the market, which could cause the market price of our Class A common stock to drop significantly, even if our business is doing well.</w:t>
      </w:r>
    </w:p>
    <w:p>
      <w:pPr>
        <w:spacing w:after="0" w:line="4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have also filed Forms S-8 under the Securities Act to register all shares of Class A common stock that we may issue under our equity compensation plans. In addition, our Principal Stockholder has demand registration rights that will require us to file registration statements in connection with future sales of our stock by our Principal Stockholder. Sales by our Principal Stockholder could be significant. Once we register these shares, they can be freely resold in the public market, subject to legal or contractual restrictions, such as lock-up agreements. As restrictions on resale end, the market price of our stock could decline if the holders of currently restricted shares sell them or are perceived by the market as intending to sell them.</w:t>
      </w:r>
    </w:p>
    <w:p>
      <w:pPr>
        <w:spacing w:after="0" w:line="322"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securities or industry analysts adversely change their recommendations regarding our shares, or if our results of operations do not meet their expectations, our share price and trading volume could decline.</w:t>
      </w:r>
    </w:p>
    <w:p>
      <w:pPr>
        <w:spacing w:after="0" w:line="49"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The trading market for our shares is influenced in part by the research and reports that industry or securities analysts publish about us or our business. We do not have any control over these analysts. If one or more of these analysts cease coverage of, or insufficiently cover, our company,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320"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9"/>
          <w:szCs w:val="19"/>
          <w:b w:val="1"/>
          <w:bCs w:val="1"/>
          <w:i w:val="1"/>
          <w:iCs w:val="1"/>
          <w:color w:val="231F20"/>
        </w:rPr>
        <w:t>If our operating and financial performance in any given period does not meet the guidance that we have provided to the public or the expectations of our investors and analysts, our Class A common stock price may decline.</w:t>
      </w:r>
    </w:p>
    <w:p>
      <w:pPr>
        <w:spacing w:after="0" w:line="25"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31F20"/>
        </w:rPr>
        <w:t>We have been, and anticipate to continue, providing guidance on our expected operating and financial results for future periods. Although we believe that this guidance will provide investors and analysts with a better understanding of management’s expectations for the future and is useful to our current and potential stockholders, such guidance comprises forward-looking statements subject to the risks and uncertainties described in this Annual Report on Form 10-K and in our other public filings and public statements. Our actual results may not always be in line with or exceed the guidance we have provided or the expectations of our investors and analysts, especially in times of economic uncertainty. If, in the future, our operating or financial results for a particular period do not meet our guidance or the expectations of our investors and analysts, or if we reduce our guidance for future periods, our share price could decline.</w:t>
      </w:r>
    </w:p>
    <w:p>
      <w:pPr>
        <w:sectPr>
          <w:pgSz w:w="11880" w:h="15480" w:orient="portrait"/>
          <w:cols w:equalWidth="0" w:num="1">
            <w:col w:w="9360"/>
          </w:cols>
          <w:pgMar w:left="1260" w:top="88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9360"/>
          </w:cols>
          <w:pgMar w:left="1260" w:top="880" w:right="1260" w:bottom="0" w:gutter="0" w:footer="0" w:header="0"/>
          <w:type w:val="continuous"/>
        </w:sectPr>
      </w:pPr>
    </w:p>
    <w:bookmarkStart w:id="49" w:name="page50"/>
    <w:bookmarkEnd w:id="49"/>
    <w:p>
      <w:pPr>
        <w:jc w:val="both"/>
        <w:ind w:right="260"/>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If our internal control over financial reporting or our disclosure controls and procedures are not effective, we may be unable to accurately report our financial results, prevent fraud, or file our periodic reports in a timely manner, which may cause investors to lose confidence in our reported financial information and may lead to a decline in our stock price.</w:t>
      </w:r>
    </w:p>
    <w:p>
      <w:pPr>
        <w:spacing w:after="0" w:line="74"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As a public company, we are required to comply with the requirements of the Sarbanes-Oxley Act. The Sarbanes-Oxley Act requires that we maintain effective internal control over financial reporting and disclosure controls, and procedures. In particular, we must perform system and process evaluation, document our controls and perform testing of our key control over financial reporting to allow management to report on the effectiveness of our internal control over financial reporting, as required by Section 404 of the Sarbanes-Oxley Act. Additionally, our independent public accounting firm also is required to issue an attestation report on the effectiveness of our internal control over financial reporting, as required by Section 404 of the Sarbanes-Oxley Act. Our testing, or the testing by our independent public accounting firm, may reveal deficiencies in our internal control over financial reporting that are deemed to be material weaknesses. If we are not able to comply with the requirements of Section 404 in a timely manner, or if we or our accounting firm identifies deficiencies in our internal control over financial reporting that are deemed to be material weaknesses, the market price of our Class A common stock would likely decline and we could be subject to lawsuits, sanctions or investigations by regulatory authorities, which would require additional financial and management resources. Moreover, any material weaknesses could result in a material misstatement of our annual or quarterly consolidated financial statements or disclosures that may not be prevented or detected.</w:t>
      </w:r>
    </w:p>
    <w:p>
      <w:pPr>
        <w:spacing w:after="0" w:line="333"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Unanticipated changes in effective tax rates or adverse outcomes resulting from examination of our income or other tax returns could adversely affect our financial condition and results of operations.</w:t>
      </w:r>
    </w:p>
    <w:p>
      <w:pPr>
        <w:spacing w:after="0" w:line="49" w:lineRule="exact"/>
        <w:rPr>
          <w:sz w:val="20"/>
          <w:szCs w:val="20"/>
          <w:color w:val="auto"/>
        </w:rPr>
      </w:pPr>
    </w:p>
    <w:p>
      <w:pPr>
        <w:ind w:right="380" w:firstLine="490"/>
        <w:spacing w:after="0" w:line="258" w:lineRule="auto"/>
        <w:rPr>
          <w:sz w:val="20"/>
          <w:szCs w:val="20"/>
          <w:color w:val="auto"/>
        </w:rPr>
      </w:pPr>
      <w:r>
        <w:rPr>
          <w:rFonts w:ascii="Times New Roman" w:cs="Times New Roman" w:eastAsia="Times New Roman" w:hAnsi="Times New Roman"/>
          <w:sz w:val="20"/>
          <w:szCs w:val="20"/>
          <w:color w:val="231F20"/>
        </w:rPr>
        <w:t>We are subject to taxes by the U.S. federal, state, and local tax authorities, and our tax liabilities will be affected by the allocation of expenses to differing jurisdictions. Our future effective tax rates could be subject to volatility or adversely affected by a number of factors, including:</w:t>
      </w:r>
    </w:p>
    <w:p>
      <w:pPr>
        <w:spacing w:after="0" w:line="83" w:lineRule="exact"/>
        <w:rPr>
          <w:sz w:val="20"/>
          <w:szCs w:val="20"/>
          <w:color w:val="auto"/>
        </w:rPr>
      </w:pPr>
    </w:p>
    <w:p>
      <w:pPr>
        <w:ind w:left="980" w:hanging="490"/>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the valuation of our deferred tax assets and liabilities;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expected timing and amount of the release of any tax valuation allowances;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tax effects of stock-based compensation; or</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tax laws, regulations, or interpretations thereof.</w:t>
      </w:r>
    </w:p>
    <w:p>
      <w:pPr>
        <w:spacing w:after="0" w:line="239" w:lineRule="exact"/>
        <w:rPr>
          <w:sz w:val="20"/>
          <w:szCs w:val="20"/>
          <w:color w:val="auto"/>
        </w:rPr>
      </w:pPr>
    </w:p>
    <w:p>
      <w:pPr>
        <w:ind w:right="440" w:firstLine="450"/>
        <w:spacing w:after="0" w:line="277" w:lineRule="auto"/>
        <w:rPr>
          <w:sz w:val="20"/>
          <w:szCs w:val="20"/>
          <w:color w:val="auto"/>
        </w:rPr>
      </w:pPr>
      <w:r>
        <w:rPr>
          <w:rFonts w:ascii="Times New Roman" w:cs="Times New Roman" w:eastAsia="Times New Roman" w:hAnsi="Times New Roman"/>
          <w:sz w:val="20"/>
          <w:szCs w:val="20"/>
          <w:color w:val="231F20"/>
        </w:rPr>
        <w:t>From time to time, U.S. tax authorities, including state and local governments, consider legislation that, if enacted, could have a material effect on our effective tax rate.</w:t>
      </w:r>
    </w:p>
    <w:p>
      <w:pPr>
        <w:spacing w:after="0" w:line="169"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In addition, we may be subject to audits of our income, sales, and other transaction taxes by U.S. federal, state, and local taxing authorities. Outcomes from these audits could have an adverse effect on our operating results and financial condition.</w:t>
      </w:r>
    </w:p>
    <w:p>
      <w:pPr>
        <w:spacing w:after="0" w:line="17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Additional impairments of the carrying value of our goodwill or other intangible assets could adversely affect our financial condition and results of operations.</w:t>
      </w:r>
    </w:p>
    <w:p>
      <w:pPr>
        <w:spacing w:after="0" w:line="159"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color w:val="231F20"/>
        </w:rPr>
        <w:t>Our goodwill and other intangible assets represent a significant portion of our total assets. We test our goodwill and our indefinite-lived intangible assets for impairment at least annually and whenever events or changes in circumstances indicate that their carrying value may not be recoverable. A significant amount of judgment is involved in determining if an indication of impairment exists. Factors indicating impairment of goodwill or other intangible assets may include, among others: a significant decline in our expected future cash flows; a sustained, significant decline in our stock price and market capitalization; changes in the macroeconomic environment, increases in interest rates, a significant adverse change in legal factors or in the business climate; unanticipated or changing competition; and reduced growth rates. There are inherent uncertainties in management’s estimates, judgments, and assumptions used in the impairment evaluation process. To the extent that business conditions deteriorate or there are any material changes in key assumptions and estimates, it may be necessary to record additional impairment charges in the future which could have a material adverse effect on our financial condition and results of operations.</w:t>
      </w:r>
    </w:p>
    <w:p>
      <w:pPr>
        <w:spacing w:after="0" w:line="196" w:lineRule="exact"/>
        <w:rPr>
          <w:sz w:val="20"/>
          <w:szCs w:val="20"/>
          <w:color w:val="auto"/>
        </w:rPr>
      </w:pPr>
    </w:p>
    <w:p>
      <w:pPr>
        <w:ind w:right="200" w:firstLine="400"/>
        <w:spacing w:after="0" w:line="305" w:lineRule="auto"/>
        <w:rPr>
          <w:sz w:val="20"/>
          <w:szCs w:val="20"/>
          <w:color w:val="auto"/>
        </w:rPr>
      </w:pPr>
      <w:r>
        <w:rPr>
          <w:rFonts w:ascii="Times New Roman" w:cs="Times New Roman" w:eastAsia="Times New Roman" w:hAnsi="Times New Roman"/>
          <w:sz w:val="19"/>
          <w:szCs w:val="19"/>
          <w:color w:val="231F20"/>
        </w:rPr>
        <w:t>For example, during the third quarter of fiscal 2023, we concluded indicators of impairment existed due to declines in the Company's share price as well as macroeconomic conditions, and performed an interim impairment</w:t>
      </w:r>
    </w:p>
    <w:p>
      <w:pPr>
        <w:sectPr>
          <w:pgSz w:w="11880" w:h="15480" w:orient="portrait"/>
          <w:cols w:equalWidth="0" w:num="1">
            <w:col w:w="9360"/>
          </w:cols>
          <w:pgMar w:left="1260" w:top="880" w:right="1260" w:bottom="0"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9360"/>
          </w:cols>
          <w:pgMar w:left="1260" w:top="880" w:right="126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color w:val="231F20"/>
        </w:rPr>
        <w:t>test of our goodwill and indefinite-lived trade name, which resulted in a pre-tax goodwill impairment charge of</w:t>
      </w:r>
    </w:p>
    <w:p>
      <w:pPr>
        <w:spacing w:after="0" w:line="28"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231F20"/>
        </w:rPr>
        <w:t>$1,222.5 million for the thirteen week period ended October 28, 2023. For further information on our evaluation of impairment of our goodwill and indefinite-lived trade name, please read the discussion under “Management’s Discussion and Analysis of Financial Condition and Results of Operations– Critical Accounting Policies and Estimates.”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1C. Cybersecurity.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Cybersecurity Risk Management and Strategy</w:t>
      </w:r>
    </w:p>
    <w:p>
      <w:pPr>
        <w:spacing w:after="0" w:line="257"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231F20"/>
        </w:rPr>
        <w:t>Our executive team and board of directors recognize that effective cybersecurity risk management is critical to the safety and security of our customer and enterprise data, systems, and products and, ultimately, the long-term success of the Company. We have a comprehensive multi-layered cybersecurity risk assessment program, which covers the identification, analysis, evaluation, and management of cybersecurity risks. The program is cross-functional involving the participation and input of internal stakeholders, third-party consultants, and board oversight. The program is reviewed and updated on a semi-annual basis, or sooner if needed.</w:t>
      </w:r>
    </w:p>
    <w:p>
      <w:pPr>
        <w:spacing w:after="0" w:line="190" w:lineRule="exact"/>
        <w:rPr>
          <w:sz w:val="20"/>
          <w:szCs w:val="20"/>
          <w:color w:val="auto"/>
        </w:rPr>
      </w:pPr>
    </w:p>
    <w:p>
      <w:pPr>
        <w:ind w:right="160" w:firstLine="770"/>
        <w:spacing w:after="0" w:line="252" w:lineRule="auto"/>
        <w:rPr>
          <w:sz w:val="20"/>
          <w:szCs w:val="20"/>
          <w:color w:val="auto"/>
        </w:rPr>
      </w:pPr>
      <w:r>
        <w:rPr>
          <w:rFonts w:ascii="Times New Roman" w:cs="Times New Roman" w:eastAsia="Times New Roman" w:hAnsi="Times New Roman"/>
          <w:sz w:val="20"/>
          <w:szCs w:val="20"/>
          <w:color w:val="231F20"/>
        </w:rPr>
        <w:t>We engage in frequent and comprehensive monitoring of our systems, including network, systems, and application security monitoring integrated into a Security Information and Event Monitoring (SIEM) system. In addition, should a cybersecurity incident occur, our response plan is based on the NIST Special Publication 800-61 Revision 2 Computer Security Incident Handling Guide, and requires the following steps:</w:t>
      </w:r>
    </w:p>
    <w:p>
      <w:pPr>
        <w:spacing w:after="0" w:line="184" w:lineRule="exact"/>
        <w:rPr>
          <w:sz w:val="20"/>
          <w:szCs w:val="20"/>
          <w:color w:val="auto"/>
        </w:rPr>
      </w:pPr>
    </w:p>
    <w:p>
      <w:pPr>
        <w:ind w:right="220" w:firstLine="720"/>
        <w:spacing w:after="0" w:line="258" w:lineRule="auto"/>
        <w:rPr>
          <w:sz w:val="20"/>
          <w:szCs w:val="20"/>
          <w:color w:val="auto"/>
        </w:rPr>
      </w:pPr>
      <w:r>
        <w:rPr>
          <w:rFonts w:ascii="Times New Roman" w:cs="Times New Roman" w:eastAsia="Times New Roman" w:hAnsi="Times New Roman"/>
          <w:sz w:val="20"/>
          <w:szCs w:val="20"/>
          <w:i w:val="1"/>
          <w:iCs w:val="1"/>
          <w:color w:val="231F20"/>
        </w:rPr>
        <w:t>Discovery</w:t>
      </w:r>
      <w:r>
        <w:rPr>
          <w:rFonts w:ascii="Times New Roman" w:cs="Times New Roman" w:eastAsia="Times New Roman" w:hAnsi="Times New Roman"/>
          <w:sz w:val="20"/>
          <w:szCs w:val="20"/>
          <w:color w:val="231F20"/>
        </w:rPr>
        <w:t>. Occurs when a potential security incident is reported. Discovery can be initiated in several</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ways, including by customer support, employees, business partners, as a result of IT logging and monitoring, or in response to customer or vendor correspondence. Containment is the priority in the Discovery phase.</w:t>
      </w:r>
    </w:p>
    <w:p>
      <w:pPr>
        <w:spacing w:after="0" w:line="178" w:lineRule="exact"/>
        <w:rPr>
          <w:sz w:val="20"/>
          <w:szCs w:val="20"/>
          <w:color w:val="auto"/>
        </w:rPr>
      </w:pPr>
    </w:p>
    <w:p>
      <w:pPr>
        <w:jc w:val="both"/>
        <w:ind w:right="440" w:firstLine="720"/>
        <w:spacing w:after="0" w:line="258" w:lineRule="auto"/>
        <w:rPr>
          <w:sz w:val="20"/>
          <w:szCs w:val="20"/>
          <w:color w:val="auto"/>
        </w:rPr>
      </w:pPr>
      <w:r>
        <w:rPr>
          <w:rFonts w:ascii="Times New Roman" w:cs="Times New Roman" w:eastAsia="Times New Roman" w:hAnsi="Times New Roman"/>
          <w:sz w:val="20"/>
          <w:szCs w:val="20"/>
          <w:i w:val="1"/>
          <w:iCs w:val="1"/>
          <w:color w:val="231F20"/>
        </w:rPr>
        <w:t>Investigation</w:t>
      </w:r>
      <w:r>
        <w:rPr>
          <w:rFonts w:ascii="Times New Roman" w:cs="Times New Roman" w:eastAsia="Times New Roman" w:hAnsi="Times New Roman"/>
          <w:sz w:val="20"/>
          <w:szCs w:val="20"/>
          <w:color w:val="231F20"/>
        </w:rPr>
        <w:t>. Occurs when the Discovery phase establishes a likelihood that the event is an actionable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security incident that warrants further research and analysis. In the Investigation phase, the priority is to swiftly complete an accurate, thorough investigation of the security incident.</w:t>
      </w:r>
    </w:p>
    <w:p>
      <w:pPr>
        <w:spacing w:after="0" w:line="178"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i w:val="1"/>
          <w:iCs w:val="1"/>
          <w:color w:val="231F20"/>
        </w:rPr>
        <w:t>Response</w:t>
      </w:r>
      <w:r>
        <w:rPr>
          <w:rFonts w:ascii="Times New Roman" w:cs="Times New Roman" w:eastAsia="Times New Roman" w:hAnsi="Times New Roman"/>
          <w:sz w:val="20"/>
          <w:szCs w:val="20"/>
          <w:color w:val="231F20"/>
        </w:rPr>
        <w:t>. Occurs when: a security incident is a confirmed data breach; a security incident requires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Company to take further action to protect the organization and/or affected parties whose impacted personal information is at risk or has been compromised; or additional administrative, physical, or technical controls are needed after a security incident. In the Response phase, the priority is to swiftly complete required notifications and other procedures according to applicable law.</w:t>
      </w:r>
    </w:p>
    <w:p>
      <w:pPr>
        <w:spacing w:after="0" w:line="18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i w:val="1"/>
          <w:iCs w:val="1"/>
          <w:color w:val="231F20"/>
        </w:rPr>
        <w:t>Closure</w:t>
      </w:r>
      <w:r>
        <w:rPr>
          <w:rFonts w:ascii="Times New Roman" w:cs="Times New Roman" w:eastAsia="Times New Roman" w:hAnsi="Times New Roman"/>
          <w:sz w:val="20"/>
          <w:szCs w:val="20"/>
          <w:color w:val="231F20"/>
        </w:rPr>
        <w:t>. Occurs when the Company's incident response steering committee can review the security incident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actions taken to evaluate whether proper investigation and documentation have occurred, and the matter requires no further notice or containment. Root causes and steps to prevent future incidents have been identified.</w:t>
      </w:r>
    </w:p>
    <w:p>
      <w:pPr>
        <w:spacing w:after="0" w:line="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231F20"/>
        </w:rPr>
        <w:t>In the Closure phase, the priority is to confirm that all necessary containment, investigation, and response tasks have been completed.</w:t>
      </w:r>
    </w:p>
    <w:p>
      <w:pPr>
        <w:spacing w:after="0" w:line="187"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i w:val="1"/>
          <w:iCs w:val="1"/>
          <w:color w:val="231F20"/>
        </w:rPr>
        <w:t>Review</w:t>
      </w:r>
      <w:r>
        <w:rPr>
          <w:rFonts w:ascii="Times New Roman" w:cs="Times New Roman" w:eastAsia="Times New Roman" w:hAnsi="Times New Roman"/>
          <w:sz w:val="20"/>
          <w:szCs w:val="20"/>
          <w:color w:val="231F20"/>
        </w:rPr>
        <w:t>. Occurs after the event has been resolved. The priority in this phase is to review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investigation/response process and update the above steps based on the lessons learned. In addition, throughout the response plan, we continually evaluate the potential materiality, and possible need for public disclosure, of any particular incident.</w:t>
      </w:r>
    </w:p>
    <w:p>
      <w:pPr>
        <w:spacing w:after="0" w:line="184"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231F20"/>
        </w:rPr>
        <w:t>We also have processes in place to oversee and identify risks from cybersecurity threats associated with our use of third party service providers. We classify third parties engaged by us based on risk and impact to our business. Classification is broken into tiers as follows:</w:t>
      </w:r>
    </w:p>
    <w:p>
      <w:pPr>
        <w:sectPr>
          <w:pgSz w:w="11880" w:h="15480" w:orient="portrait"/>
          <w:cols w:equalWidth="0" w:num="1">
            <w:col w:w="9360"/>
          </w:cols>
          <w:pgMar w:left="1260" w:top="88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9360"/>
          </w:cols>
          <w:pgMar w:left="1260" w:top="880" w:right="1260" w:bottom="0" w:gutter="0" w:footer="0" w:header="0"/>
          <w:type w:val="continuous"/>
        </w:sectPr>
      </w:pPr>
    </w:p>
    <w:bookmarkStart w:id="51" w:name="page52"/>
    <w:bookmarkEnd w:id="51"/>
    <w:p>
      <w:pPr>
        <w:jc w:val="both"/>
        <w:ind w:left="720" w:right="140"/>
        <w:spacing w:after="0" w:line="258" w:lineRule="auto"/>
        <w:rPr>
          <w:sz w:val="20"/>
          <w:szCs w:val="20"/>
          <w:color w:val="auto"/>
        </w:rPr>
      </w:pPr>
      <w:r>
        <w:rPr>
          <w:rFonts w:ascii="Times New Roman" w:cs="Times New Roman" w:eastAsia="Times New Roman" w:hAnsi="Times New Roman"/>
          <w:sz w:val="20"/>
          <w:szCs w:val="20"/>
          <w:i w:val="1"/>
          <w:iCs w:val="1"/>
          <w:color w:val="231F20"/>
        </w:rPr>
        <w:t>Tier 1</w:t>
      </w:r>
      <w:r>
        <w:rPr>
          <w:rFonts w:ascii="Times New Roman" w:cs="Times New Roman" w:eastAsia="Times New Roman" w:hAnsi="Times New Roman"/>
          <w:sz w:val="20"/>
          <w:szCs w:val="20"/>
          <w:color w:val="231F20"/>
        </w:rPr>
        <w:t>. Access to critical infrastructure, data, or services affecting critical infrastructure. Administrative 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privileged access to production systems, including hosting or developing systems, applications, websites, software, or SaaS solutions.</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231F20"/>
        </w:rPr>
        <w:t>Tier 2</w:t>
      </w:r>
      <w:r>
        <w:rPr>
          <w:rFonts w:ascii="Times New Roman" w:cs="Times New Roman" w:eastAsia="Times New Roman" w:hAnsi="Times New Roman"/>
          <w:sz w:val="20"/>
          <w:szCs w:val="20"/>
          <w:color w:val="231F20"/>
        </w:rPr>
        <w:t>. Non-privileged access to Company applications.</w:t>
      </w:r>
    </w:p>
    <w:p>
      <w:pPr>
        <w:spacing w:after="0" w:line="230" w:lineRule="exact"/>
        <w:rPr>
          <w:sz w:val="20"/>
          <w:szCs w:val="20"/>
          <w:color w:val="auto"/>
        </w:rPr>
      </w:pPr>
    </w:p>
    <w:p>
      <w:pPr>
        <w:ind w:left="720" w:right="700"/>
        <w:spacing w:after="0" w:line="277" w:lineRule="auto"/>
        <w:rPr>
          <w:sz w:val="20"/>
          <w:szCs w:val="20"/>
          <w:color w:val="auto"/>
        </w:rPr>
      </w:pPr>
      <w:r>
        <w:rPr>
          <w:rFonts w:ascii="Times New Roman" w:cs="Times New Roman" w:eastAsia="Times New Roman" w:hAnsi="Times New Roman"/>
          <w:sz w:val="20"/>
          <w:szCs w:val="20"/>
          <w:i w:val="1"/>
          <w:iCs w:val="1"/>
          <w:color w:val="231F20"/>
        </w:rPr>
        <w:t>Tier 3</w:t>
      </w:r>
      <w:r>
        <w:rPr>
          <w:rFonts w:ascii="Times New Roman" w:cs="Times New Roman" w:eastAsia="Times New Roman" w:hAnsi="Times New Roman"/>
          <w:sz w:val="20"/>
          <w:szCs w:val="20"/>
          <w:color w:val="231F20"/>
        </w:rPr>
        <w:t>. No direct system access but may be associated through a partnership or have links hosted or</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embedded within Company marketing material or websites.</w:t>
      </w:r>
    </w:p>
    <w:p>
      <w:pPr>
        <w:spacing w:after="0" w:line="159" w:lineRule="exact"/>
        <w:rPr>
          <w:sz w:val="20"/>
          <w:szCs w:val="20"/>
          <w:color w:val="auto"/>
        </w:rPr>
      </w:pPr>
    </w:p>
    <w:p>
      <w:pPr>
        <w:ind w:right="260" w:firstLine="720"/>
        <w:spacing w:after="0" w:line="252" w:lineRule="auto"/>
        <w:rPr>
          <w:sz w:val="20"/>
          <w:szCs w:val="20"/>
          <w:color w:val="auto"/>
        </w:rPr>
      </w:pPr>
      <w:r>
        <w:rPr>
          <w:rFonts w:ascii="Times New Roman" w:cs="Times New Roman" w:eastAsia="Times New Roman" w:hAnsi="Times New Roman"/>
          <w:sz w:val="20"/>
          <w:szCs w:val="20"/>
          <w:color w:val="231F20"/>
        </w:rPr>
        <w:t>Third party risk scores are weighted based on the classification tier and monitored over the course of the year. A change in risk score may trigger an audit for the third party as well as a remediation plan to address any identified gaps, which our information security team oversees in conjunction with the relevant business owner for the third party relationship.</w:t>
      </w:r>
    </w:p>
    <w:p>
      <w:pPr>
        <w:spacing w:after="0" w:line="184"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231F20"/>
        </w:rPr>
        <w:t>While we face a variety of cybersecurity risks, such as phishing attempts, ransomware attacks, account takeovers, fraudulent orders, and unauthorized access attempts, such risks have not materially affected us to date, including our business strategy, results of operations or financial condition, and as of the date of this Annual Report on Form 10-K, the Company is not aware of any material risks from cybersecurity threats that are reasonably likely to do so. For more information about the cybersecurity risks we face, see “Item 1A – Risk Factors - Our reputation and business may be harmed if our or our vendors’ computer network security or any of the databases containing customer, employee, or other personal information maintained by us or our third-party providers is compromised, which could materially adversely affect our results of operations.”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Cybersecurity Governance</w:t>
      </w:r>
    </w:p>
    <w:p>
      <w:pPr>
        <w:spacing w:after="0" w:line="234"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231F20"/>
        </w:rPr>
        <w:t>Our board of directors has ultimate oversight of our risk management policies and strategies. Our executive leadership team, which is responsible for our day-to-day overall risk management practices, presents to the board of directors on the various material risks to our Company, including risks related to information technology and cybersecurity.</w:t>
      </w:r>
    </w:p>
    <w:p>
      <w:pPr>
        <w:spacing w:after="0" w:line="18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231F20"/>
        </w:rPr>
        <w:t>The audit committee has formal oversight responsibility for cybersecurity, as delegated by our board of directors, and is responsible for reviewing our policies and procedures with respect to cybersecurity risk assessment and risk management. As part of the board of directors and audit committee’s oversight, our Chief Technology Officer (“CTO”), and/or Chief Information Security Officer (“CISO”) provide semi-annual updates to the audit committee with respect to cybersecurity incidents, mitigation, threats, risks, and management, which are also communicated to the full board. In addition, a cross-functional committee comprised of key stakeholders throughout the Company meets regularly to review cybersecurity incidents, mitigation, threats, risks, and management.</w:t>
      </w:r>
    </w:p>
    <w:p>
      <w:pPr>
        <w:spacing w:after="0" w:line="190"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231F20"/>
        </w:rPr>
        <w:t>Our CISO, who has extensive cybersecurity knowledge and skills gained from over 25 years of work experience at the Company and elsewhere, is responsible for developing and overseeing matters related to cybersecurity and reports directly to our CTO, who is accountable for the overall information technology and security strategy of the Company. The CISO receives reports on cybersecurity threats from several experienced information security professionals responsible for various parts of the business on an ongoing basis and, in conjunction with our enterprise risk steering committee, regularly reviews risk management measures implemented by the Company to identify and mitigate data protection and cybersecurity risks. Our CISO works closely with our legal department to oversee compliance with legal, regulatory and contractual security requirements. Our enterprise risk steering committee is comprised of key stakeholders throughout the Company and works with management and our CISO to (i) identify and review certain cybersecurity risks that we face, including the probability and impact of such risks, and (ii) identify steps needed to eliminate or mitigate such risks. In addition, we have a well-defined cybersecurity incident response plan, as described above. Finally, we have protocols by which certain cybersecurity incidents are escalated within the Company and, where appropriate, reported in a timely manner to law enforcement, our outside auditors, the audit committee and/or the board of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124" w:lineRule="exact"/>
        <w:rPr>
          <w:sz w:val="20"/>
          <w:szCs w:val="20"/>
          <w:color w:val="auto"/>
        </w:rPr>
      </w:pPr>
    </w:p>
    <w:p>
      <w:pPr>
        <w:ind w:right="320" w:firstLine="490"/>
        <w:spacing w:after="0" w:line="258" w:lineRule="auto"/>
        <w:rPr>
          <w:sz w:val="20"/>
          <w:szCs w:val="20"/>
          <w:color w:val="auto"/>
        </w:rPr>
      </w:pPr>
      <w:r>
        <w:rPr>
          <w:rFonts w:ascii="Times New Roman" w:cs="Times New Roman" w:eastAsia="Times New Roman" w:hAnsi="Times New Roman"/>
          <w:sz w:val="20"/>
          <w:szCs w:val="20"/>
          <w:color w:val="231F20"/>
        </w:rPr>
        <w:t>The Company’s headquarters is located in San Diego, California and comprises a total of approximately 257,000 square feet, and is under a long-term lease. The Company also leases facilities for corporate functions in San Antonio, Texas and Quer</w:t>
      </w:r>
      <w:r>
        <w:rPr>
          <w:rFonts w:ascii="Times New Roman" w:cs="Times New Roman" w:eastAsia="Times New Roman" w:hAnsi="Times New Roman"/>
          <w:sz w:val="20"/>
          <w:szCs w:val="20"/>
          <w:color w:val="747678"/>
        </w:rPr>
        <w:t>é</w:t>
      </w:r>
      <w:r>
        <w:rPr>
          <w:rFonts w:ascii="Times New Roman" w:cs="Times New Roman" w:eastAsia="Times New Roman" w:hAnsi="Times New Roman"/>
          <w:sz w:val="20"/>
          <w:szCs w:val="20"/>
          <w:color w:val="231F20"/>
        </w:rPr>
        <w:t>taro, Mexico.</w:t>
      </w:r>
    </w:p>
    <w:p>
      <w:pPr>
        <w:sectPr>
          <w:pgSz w:w="11880" w:h="15480" w:orient="portrait"/>
          <w:cols w:equalWidth="0" w:num="1">
            <w:col w:w="9360"/>
          </w:cols>
          <w:pgMar w:left="1260" w:top="880" w:right="1260" w:bottom="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9360"/>
          </w:cols>
          <w:pgMar w:left="1260" w:top="880" w:right="1260" w:bottom="0" w:gutter="0" w:footer="0" w:header="0"/>
          <w:type w:val="continuous"/>
        </w:sectPr>
      </w:pPr>
    </w:p>
    <w:bookmarkStart w:id="52" w:name="page53"/>
    <w:bookmarkEnd w:id="52"/>
    <w:p>
      <w:pPr>
        <w:ind w:firstLine="490"/>
        <w:spacing w:after="0" w:line="246" w:lineRule="auto"/>
        <w:rPr>
          <w:sz w:val="20"/>
          <w:szCs w:val="20"/>
          <w:color w:val="auto"/>
        </w:rPr>
      </w:pPr>
      <w:r>
        <w:rPr>
          <w:rFonts w:ascii="Times New Roman" w:cs="Times New Roman" w:eastAsia="Times New Roman" w:hAnsi="Times New Roman"/>
          <w:sz w:val="20"/>
          <w:szCs w:val="20"/>
          <w:color w:val="231F20"/>
        </w:rPr>
        <w:t>We lease all of our distribution center locations and all of our approximately 1,400 pet care centers in the U.S. and Puerto Rico. The original lease term for pet care centers is generally ten years, with certain leases being shorter or longer, and many of these leases contain renewal options. The vast majority of pet care center leases, excluding renewal options, expire at various dates over the next ten years. Our pet care centers are generally located at sites co-anchored by strong destination stores. Most leases also require payment of property taxes, utilities, common area maintenance, and insurance as additional rent expenses. Furthermore, for certain leases, if annual sales exceed specified amounts, we also pay percentage rent as an additional rent expense.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124"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We are involved in the legal proceedings described in Note 14, Commitments and Contingencies, in our consolidated financial statements included elsewhere in this Annual Report on Form 10-K, and we are subject to other claims and litigation arising in the ordinary course of business. The outcome of any litigation is inherently uncertain, and if decided adversely to us, or if we determine that settlement of particular litigation is appropriate, we may be subject to liability that could have a material adverse effect on our business. We believe that there are no pending lawsuits or claims that, individually or in the aggregate, may have a material effect on our business, financial condition or results of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9360"/>
          </w:cols>
          <w:pgMar w:left="1260" w:top="88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9360"/>
          </w:cols>
          <w:pgMar w:left="1260" w:top="880" w:right="1260" w:bottom="0" w:gutter="0" w:footer="0" w:header="0"/>
          <w:type w:val="continuous"/>
        </w:sectPr>
      </w:pPr>
    </w:p>
    <w:bookmarkStart w:id="53" w:name="page54"/>
    <w:bookmarkEnd w:id="53"/>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12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20"/>
          <w:szCs w:val="20"/>
          <w:b w:val="1"/>
          <w:bCs w:val="1"/>
          <w:color w:val="231F20"/>
        </w:rPr>
        <w:t>Item 5. Market for Registrant’s Common Equity, Related Stockholder Matters and Issuer Purchases of Equity Securities.</w:t>
      </w: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Market Information</w:t>
      </w:r>
    </w:p>
    <w:p>
      <w:pPr>
        <w:spacing w:after="0" w:line="12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Our Class A common stock is currently listed on The Nasdaq Global Select Market under the ticker “WOOF” and began trading on January 14, 2021. Prior to that date, there was no public trading market for our Class A common stock. There is no public trading market for our Class B-1 common stock, par value $0.001 per share, or our Class B-2 common stock, par value $0.000001 per share.</w:t>
      </w: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Holders</w:t>
      </w:r>
    </w:p>
    <w:p>
      <w:pPr>
        <w:spacing w:after="0" w:line="124"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31F20"/>
        </w:rPr>
        <w:t>As of March 11, 2026, there were 109 shareholders of record of our Class A common stock, one shareholder of record of our Class B-1 common stock, and two shareholders of record of our Class B-2 common stock. The number of record holders of our Class A common stock does not reflect the number of persons or entities holding their stock in “street” name through brokerage firms or other nominee holders.</w:t>
      </w: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Recent Sales of Unregistered Equity Securities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Issuer Purchases of Equity Securities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231F20"/>
        </w:rPr>
        <w:t>Dividend Policy</w:t>
      </w:r>
    </w:p>
    <w:p>
      <w:pPr>
        <w:spacing w:after="0" w:line="124"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We do not anticipate declaring or paying any cash dividends to holders of our Class A common stock in the foreseeable future. We currently intend to retain future earnings, if any, to finance the growth of our business and pay down our indebtedness. Our future dividend policy is within the discretion of our board of directors, subject to applicable law, and will depend upon then-existing conditions, including our results of operations, financial condition, capital requirements, investment opportunities, statutory restrictions on our ability to pay dividends and other factors our board of directors may deem relevant. Please read “Risk Factors—The agreements governing our indebtedness include restrictive covenants that limit our operating flexibility, which could harm our long-term interests,” and “Management’s Discussion and Analysis of Financial Condition and Results of Operations—Liquidity and Capital Resources” in this Annual Report on Form 10-K for descriptions of restrictions on our ability to pay dividends.</w:t>
      </w:r>
    </w:p>
    <w:p>
      <w:pPr>
        <w:sectPr>
          <w:pgSz w:w="11880" w:h="15480" w:orient="portrait"/>
          <w:cols w:equalWidth="0" w:num="1">
            <w:col w:w="9280"/>
          </w:cols>
          <w:pgMar w:left="1260" w:top="876"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9280"/>
          </w:cols>
          <w:pgMar w:left="1260" w:top="876" w:right="1340" w:bottom="0" w:gutter="0" w:footer="0" w:header="0"/>
          <w:type w:val="continuous"/>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20"/>
          <w:szCs w:val="20"/>
          <w:b w:val="1"/>
          <w:bCs w:val="1"/>
          <w:color w:val="231F20"/>
        </w:rPr>
        <w:t>Performance Graph</w:t>
      </w:r>
    </w:p>
    <w:p>
      <w:pPr>
        <w:spacing w:after="0" w:line="234" w:lineRule="exact"/>
        <w:rPr>
          <w:sz w:val="20"/>
          <w:szCs w:val="20"/>
          <w:color w:val="auto"/>
        </w:rPr>
      </w:pPr>
    </w:p>
    <w:p>
      <w:pPr>
        <w:ind w:right="40" w:firstLine="450"/>
        <w:spacing w:after="0" w:line="247" w:lineRule="auto"/>
        <w:rPr>
          <w:sz w:val="20"/>
          <w:szCs w:val="20"/>
          <w:color w:val="auto"/>
        </w:rPr>
      </w:pPr>
      <w:r>
        <w:rPr>
          <w:rFonts w:ascii="Times New Roman" w:cs="Times New Roman" w:eastAsia="Times New Roman" w:hAnsi="Times New Roman"/>
          <w:sz w:val="20"/>
          <w:szCs w:val="20"/>
          <w:color w:val="231F20"/>
        </w:rPr>
        <w:t>The graph below compares the cumulative total return on our Class A common stock with the cumulative total returns of the Nasdaq Composite index and S&amp;P Retail Select Industry index from January 30, 2021 through January 31, 2026. The graph assumes that the value of the investment in our Class A common stock and in each index (including reinvestment of dividends) was $100 on January 30, 2021 and tracks it through January 31, 2026. The comparisons in the graph below are based upon historical data and are not indicative of, nor intended to forecast,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-15240</wp:posOffset>
            </wp:positionV>
            <wp:extent cx="5842000" cy="538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5842000" cy="538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3040" w:type="dxa"/>
            <w:vAlign w:val="bottom"/>
          </w:tcPr>
          <w:p>
            <w:pPr>
              <w:spacing w:after="0"/>
              <w:rPr>
                <w:sz w:val="16"/>
                <w:szCs w:val="16"/>
                <w:color w:val="auto"/>
              </w:rPr>
            </w:pP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1/30/21</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1/29/22</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231F20"/>
              </w:rPr>
              <w:t>1/28/23</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2/3/24</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31F20"/>
              </w:rPr>
              <w:t>2/1/25</w:t>
            </w:r>
          </w:p>
        </w:tc>
        <w:tc>
          <w:tcPr>
            <w:tcW w:w="7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1/31/26</w:t>
            </w:r>
          </w:p>
        </w:tc>
      </w:tr>
      <w:tr>
        <w:trPr>
          <w:trHeight w:val="339"/>
        </w:trPr>
        <w:tc>
          <w:tcPr>
            <w:tcW w:w="304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Petco Health and Wellness Company Inc.</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100.00</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70.30</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45.10</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9.53</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13.14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10.33</w:t>
            </w:r>
          </w:p>
        </w:tc>
      </w:tr>
      <w:tr>
        <w:trPr>
          <w:trHeight w:val="184"/>
        </w:trPr>
        <w:tc>
          <w:tcPr>
            <w:tcW w:w="304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NASDAQ Composite</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100.00</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109.65</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89.97</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118.75</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154.81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186.26</w:t>
            </w:r>
          </w:p>
        </w:tc>
      </w:tr>
      <w:tr>
        <w:trPr>
          <w:trHeight w:val="221"/>
        </w:trPr>
        <w:tc>
          <w:tcPr>
            <w:tcW w:w="304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S&amp;P Retail Select Industry</w:t>
            </w:r>
          </w:p>
        </w:tc>
        <w:tc>
          <w:tcPr>
            <w:tcW w:w="8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100.00</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31F20"/>
              </w:rPr>
              <w:t>94.78</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231F20"/>
              </w:rPr>
              <w:t>83.11</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231F20"/>
              </w:rPr>
              <w:t>82.46</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98.38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106.85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-493395</wp:posOffset>
            </wp:positionV>
            <wp:extent cx="430403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4304030" cy="25400"/>
                    </a:xfrm>
                    <a:prstGeom prst="rect">
                      <a:avLst/>
                    </a:prstGeom>
                    <a:noFill/>
                  </pic:spPr>
                </pic:pic>
              </a:graphicData>
            </a:graphic>
          </wp:anchor>
        </w:drawing>
      </w:r>
    </w:p>
    <w:p>
      <w:pPr>
        <w:spacing w:after="0" w:line="86" w:lineRule="exact"/>
        <w:rPr>
          <w:sz w:val="20"/>
          <w:szCs w:val="20"/>
          <w:color w:val="auto"/>
        </w:rPr>
      </w:pPr>
    </w:p>
    <w:p>
      <w:pPr>
        <w:jc w:val="both"/>
        <w:ind w:firstLine="490"/>
        <w:spacing w:after="0" w:line="256" w:lineRule="auto"/>
        <w:rPr>
          <w:sz w:val="20"/>
          <w:szCs w:val="20"/>
          <w:color w:val="auto"/>
        </w:rPr>
      </w:pPr>
      <w:r>
        <w:rPr>
          <w:rFonts w:ascii="Times New Roman" w:cs="Times New Roman" w:eastAsia="Times New Roman" w:hAnsi="Times New Roman"/>
          <w:sz w:val="18"/>
          <w:szCs w:val="18"/>
          <w:i w:val="1"/>
          <w:iCs w:val="1"/>
          <w:color w:val="231F20"/>
        </w:rPr>
        <w:t>The above performance graph shall not be deemed "filed" for purposes of Section 18 of the Exchange Act, or incorporated by reference into any filing of Petco Health and Wellness Company, Inc. under the Securities Act or the Exchange Act, except as shall be expressly set forth by specific reference in such filing.</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6. [Reserved]</w:t>
      </w:r>
    </w:p>
    <w:p>
      <w:pPr>
        <w:sectPr>
          <w:pgSz w:w="11880" w:h="15480" w:orient="portrait"/>
          <w:cols w:equalWidth="0" w:num="1">
            <w:col w:w="9340"/>
          </w:cols>
          <w:pgMar w:left="1260" w:top="87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9340"/>
          </w:cols>
          <w:pgMar w:left="1260" w:top="876" w:right="128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following discussion and analysis of our financial condition and results of operations should be read in conjunction with our consolidated financial statements and the accompanying notes included elsewhere in this Annual Report on Form 10-K. The discussion and analysis below contains certain forward-looking statements about our business and operations that are subject to the risks, uncertainties, and other factors described in the section entitled “Risk Factors,” included in Part I, Item 1A, and elsewhere in this Annual Report on Form 10-K. These risks, uncertainties, and other factors could cause our actual results to differ materially from those expressed in, or implied by, the forward-looking statements. The risks described in documents we file from time to time with the U.S. Securities and Exchange Commission (the “SEC”), including the sections entitled “Cautionary Note Regarding Forward-Looking Statements” and “Risk Factors” in this Annual Report on Form 10-K, should be carefully reviewed.</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24"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231F20"/>
        </w:rPr>
        <w:t>Petco Health and Wellness Company, Inc. (“Petco”, the “Company”, “we”, “our” and “us”) is a leading pet specialty retailer focused on improving the lives of pets, pet parents, and our own partners. We nurture the pet-human bond in the aisles of more than 1,500 Petco stores across the U.S., Mexico, Puerto Rico, and Chile.</w:t>
      </w:r>
    </w:p>
    <w:p>
      <w:pPr>
        <w:spacing w:after="0" w:line="68"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231F20"/>
        </w:rPr>
        <w:t>Our multicategory strategy integrates our digital assets with our nationwide physical footprint to meet the needs of pet parents who are looking for a single source for all their pets’ needs. Petco.com, our e-commerce site, and the Petco app, our personalized mobile app, together serve as hubs for pet parents to book appointments and manage all of their pets’ needs, while enabling them to shop wherever, whenever, and however they want. We are focused on continually improving both our digital capabilities as well as our membership offering.</w:t>
      </w:r>
    </w:p>
    <w:p>
      <w:pPr>
        <w:spacing w:after="0" w:line="77"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We strive to be a company that is improving millions of pet lives as well as the lives of pet parents and the partners who work for us. In tandem with Petco Love, an independent 501(c)(3) nonprofit organization, we work with and support thousands of local animal welfare groups nationwide and, through these partnerships and in-store adoption events, we have helped find homes for over 7 million animals.</w:t>
      </w:r>
    </w:p>
    <w:p>
      <w:pPr>
        <w:spacing w:after="0" w:line="194"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Our product offering leverages a broad assortment of national brands, owned brands, and exclusive merchandise, providing customers with a wide variety of nutritional options at a range of price points. Our product offering is complemented by a wide variety of pet care supplies and companion animals. We integrate our product offering with our services business, comprised of veterinary care, grooming, and training, with a focus on treating the whole pet, including their physical, mental, and social well -being. Further enhancing the customer experience, our over 26,000 knowledgeable, passionate partners in our pet care centers provide important high-quality advice to our customers.</w:t>
      </w:r>
    </w:p>
    <w:p>
      <w:pPr>
        <w:spacing w:after="0" w:line="20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Macroeconomic factors, including interest rates, potential inflationary pressures, supply chain constraints, tariffs, and global economic and geopolitical developments, including geopolitical conflicts and tensions, have had varying impacts on our results of operations that are difficult to isolate and quantify. We cannot predict the duration or ultimate severity of these macroeconomic factors or the ultimate impact on our operations and liquidity. Please refer to the risk factors in Part I, Item 1A, "Risk Factors" of this Form 10-K.</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How We Assess the Performance of Our Business</w:t>
      </w:r>
    </w:p>
    <w:p>
      <w:pPr>
        <w:spacing w:after="0" w:line="124" w:lineRule="exact"/>
        <w:rPr>
          <w:sz w:val="20"/>
          <w:szCs w:val="20"/>
          <w:color w:val="auto"/>
        </w:rPr>
      </w:pPr>
    </w:p>
    <w:p>
      <w:pPr>
        <w:ind w:right="440" w:firstLine="490"/>
        <w:spacing w:after="0" w:line="277" w:lineRule="auto"/>
        <w:rPr>
          <w:sz w:val="20"/>
          <w:szCs w:val="20"/>
          <w:color w:val="auto"/>
        </w:rPr>
      </w:pPr>
      <w:r>
        <w:rPr>
          <w:rFonts w:ascii="Times New Roman" w:cs="Times New Roman" w:eastAsia="Times New Roman" w:hAnsi="Times New Roman"/>
          <w:sz w:val="20"/>
          <w:szCs w:val="20"/>
          <w:color w:val="231F20"/>
        </w:rPr>
        <w:t>In assessing our performance, we consider a variety of performance and financial measures including the following: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Comparable Sales</w:t>
      </w:r>
    </w:p>
    <w:p>
      <w:pPr>
        <w:spacing w:after="0" w:line="12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31F20"/>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ectPr>
          <w:pgSz w:w="11880" w:h="15480" w:orient="portrait"/>
          <w:cols w:equalWidth="0" w:num="1">
            <w:col w:w="9340"/>
          </w:cols>
          <w:pgMar w:left="1260" w:top="876" w:right="1280" w:bottom="0" w:gutter="0" w:footer="0" w:header="0"/>
        </w:sect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9340"/>
          </w:cols>
          <w:pgMar w:left="1260" w:top="876" w:right="1280" w:bottom="0" w:gutter="0" w:footer="0" w:header="0"/>
          <w:type w:val="continuous"/>
        </w:sectPr>
      </w:pPr>
    </w:p>
    <w:bookmarkStart w:id="56" w:name="page57"/>
    <w:bookmarkEnd w:id="56"/>
    <w:p>
      <w:pPr>
        <w:jc w:val="both"/>
        <w:ind w:right="200" w:firstLine="490"/>
        <w:spacing w:after="0" w:line="258" w:lineRule="auto"/>
        <w:rPr>
          <w:sz w:val="20"/>
          <w:szCs w:val="20"/>
          <w:color w:val="auto"/>
        </w:rPr>
      </w:pPr>
      <w:r>
        <w:rPr>
          <w:rFonts w:ascii="Times New Roman" w:cs="Times New Roman" w:eastAsia="Times New Roman" w:hAnsi="Times New Roman"/>
          <w:sz w:val="20"/>
          <w:szCs w:val="20"/>
          <w:color w:val="231F20"/>
        </w:rPr>
        <w:t>Comparable sales allow us to evaluate how our overall ecosystem is performing by measuring the change in period-over-period net sales from locations and digital sites that have been open for the applicable period. General macroeconomic and retail business trends are also a key driver of changes in comparable sales.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Non-GAAP Financial Measures</w:t>
      </w:r>
    </w:p>
    <w:p>
      <w:pPr>
        <w:spacing w:after="0" w:line="120" w:lineRule="exact"/>
        <w:rPr>
          <w:sz w:val="20"/>
          <w:szCs w:val="20"/>
          <w:color w:val="auto"/>
        </w:rPr>
      </w:pPr>
    </w:p>
    <w:p>
      <w:pPr>
        <w:ind w:right="360" w:firstLine="490"/>
        <w:spacing w:after="0" w:line="265" w:lineRule="auto"/>
        <w:rPr>
          <w:sz w:val="20"/>
          <w:szCs w:val="20"/>
          <w:color w:val="auto"/>
        </w:rPr>
      </w:pPr>
      <w:r>
        <w:rPr>
          <w:rFonts w:ascii="Times New Roman" w:cs="Times New Roman" w:eastAsia="Times New Roman" w:hAnsi="Times New Roman"/>
          <w:sz w:val="19"/>
          <w:szCs w:val="19"/>
          <w:color w:val="231F20"/>
        </w:rPr>
        <w:t>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Factors Affecting Our Business</w:t>
      </w:r>
    </w:p>
    <w:p>
      <w:pPr>
        <w:spacing w:after="0" w:line="105" w:lineRule="exact"/>
        <w:rPr>
          <w:sz w:val="20"/>
          <w:szCs w:val="20"/>
          <w:color w:val="auto"/>
        </w:rPr>
      </w:pPr>
    </w:p>
    <w:p>
      <w:pPr>
        <w:ind w:right="440" w:firstLine="490"/>
        <w:spacing w:after="0" w:line="236" w:lineRule="auto"/>
        <w:rPr>
          <w:sz w:val="20"/>
          <w:szCs w:val="20"/>
          <w:color w:val="auto"/>
        </w:rPr>
      </w:pPr>
      <w:r>
        <w:rPr>
          <w:rFonts w:ascii="Times New Roman" w:cs="Times New Roman" w:eastAsia="Times New Roman" w:hAnsi="Times New Roman"/>
          <w:sz w:val="20"/>
          <w:szCs w:val="20"/>
          <w:color w:val="231F20"/>
        </w:rPr>
        <w:t>We believe that our performance and future success depend on several factors that present significant opportunities for us but also pose risks and challenges, including those discussed below and in the section titled “Risk Factors” included in Part I, Item 1A of this Annual Report on Form 10-K.</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Pet Industry Trends</w:t>
      </w:r>
    </w:p>
    <w:p>
      <w:pPr>
        <w:spacing w:after="0" w:line="97" w:lineRule="exact"/>
        <w:rPr>
          <w:sz w:val="20"/>
          <w:szCs w:val="20"/>
          <w:color w:val="auto"/>
        </w:rPr>
      </w:pPr>
    </w:p>
    <w:p>
      <w:pPr>
        <w:ind w:right="40" w:firstLine="490"/>
        <w:spacing w:after="0" w:line="236" w:lineRule="auto"/>
        <w:rPr>
          <w:sz w:val="20"/>
          <w:szCs w:val="20"/>
          <w:color w:val="auto"/>
        </w:rPr>
      </w:pPr>
      <w:r>
        <w:rPr>
          <w:rFonts w:ascii="Times New Roman" w:cs="Times New Roman" w:eastAsia="Times New Roman" w:hAnsi="Times New Roman"/>
          <w:sz w:val="20"/>
          <w:szCs w:val="20"/>
          <w:color w:val="231F20"/>
        </w:rPr>
        <w:t>The U.S. pet care industry is large, serving millions of households with pets, and has exhibited healthy growth over time driven by an increase in the pet population and ongoing trends in pet humanization and premiumization. Due to the essential, repeat nature of pet care, the industry has demonstrated resilience across economic cycles.</w:t>
      </w:r>
    </w:p>
    <w:p>
      <w:pPr>
        <w:spacing w:after="0" w:line="63" w:lineRule="exact"/>
        <w:rPr>
          <w:sz w:val="20"/>
          <w:szCs w:val="20"/>
          <w:color w:val="auto"/>
        </w:rPr>
      </w:pPr>
    </w:p>
    <w:p>
      <w:pPr>
        <w:ind w:right="80" w:firstLine="490"/>
        <w:spacing w:after="0" w:line="226" w:lineRule="auto"/>
        <w:rPr>
          <w:sz w:val="20"/>
          <w:szCs w:val="20"/>
          <w:color w:val="auto"/>
        </w:rPr>
      </w:pPr>
      <w:r>
        <w:rPr>
          <w:rFonts w:ascii="Times New Roman" w:cs="Times New Roman" w:eastAsia="Times New Roman" w:hAnsi="Times New Roman"/>
          <w:sz w:val="20"/>
          <w:szCs w:val="20"/>
          <w:color w:val="231F20"/>
        </w:rPr>
        <w:t>In 2025, with new leadership in place, we embarked on a purposeful strategy to sharpen our fundamentals with a specific focus on driving improved profitability and cash flow. This strategy is anchored upon four key pillars: providing a trusted store experience for our customers; offering new, trend-driven products that complement our evergreen assortment; scaling our unique and competitively differentiated services offering; and powering it all with an integrated omni-channel experience driven by a revamped membership offering, repeat delivery, and seamless digital-to-store engagement.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Customer Pet Purchase Trends</w:t>
      </w:r>
    </w:p>
    <w:p>
      <w:pPr>
        <w:spacing w:after="0" w:line="97" w:lineRule="exact"/>
        <w:rPr>
          <w:sz w:val="20"/>
          <w:szCs w:val="20"/>
          <w:color w:val="auto"/>
        </w:rPr>
      </w:pPr>
    </w:p>
    <w:p>
      <w:pPr>
        <w:ind w:firstLine="490"/>
        <w:spacing w:after="0" w:line="228" w:lineRule="auto"/>
        <w:rPr>
          <w:sz w:val="20"/>
          <w:szCs w:val="20"/>
          <w:color w:val="auto"/>
        </w:rPr>
      </w:pPr>
      <w:r>
        <w:rPr>
          <w:rFonts w:ascii="Times New Roman" w:cs="Times New Roman" w:eastAsia="Times New Roman" w:hAnsi="Times New Roman"/>
          <w:sz w:val="20"/>
          <w:szCs w:val="20"/>
          <w:color w:val="231F20"/>
        </w:rPr>
        <w:t>Our multi-channel ecosystem is designed to support our customers regardless of how customers choose to shop for their pet care needs. As we saw the major purchase trend shift and grow into areas like e-commerce, services, and veterinary care, we actively invested to build capabilities and offerings to capitalize on the opportunity. Our business will be impacted by our ability to continue to understand and timely react to changing customer purchase trends.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Customer Acquisition, Retention, and Spend</w:t>
      </w:r>
    </w:p>
    <w:p>
      <w:pPr>
        <w:spacing w:after="0" w:line="97" w:lineRule="exact"/>
        <w:rPr>
          <w:sz w:val="20"/>
          <w:szCs w:val="20"/>
          <w:color w:val="auto"/>
        </w:rPr>
      </w:pPr>
    </w:p>
    <w:p>
      <w:pPr>
        <w:ind w:right="40" w:firstLine="490"/>
        <w:spacing w:after="0" w:line="226" w:lineRule="auto"/>
        <w:rPr>
          <w:sz w:val="20"/>
          <w:szCs w:val="20"/>
          <w:color w:val="auto"/>
        </w:rPr>
      </w:pPr>
      <w:r>
        <w:rPr>
          <w:rFonts w:ascii="Times New Roman" w:cs="Times New Roman" w:eastAsia="Times New Roman" w:hAnsi="Times New Roman"/>
          <w:sz w:val="20"/>
          <w:szCs w:val="20"/>
          <w:color w:val="231F20"/>
        </w:rPr>
        <w:t>Our business is impacted by our ability to successfully attract new customers to any one of our channels, build their loyalty to encourage return visits, and expand their spend with Petco across multiple purchase channels (e.g., pet care centers, e-commerce, and services) and categories (e.g., pet food, supplies, and companion animals). This is the primary focus of our customer engagement efforts from our differentiated digital engine, to marketing campaigns, and to new product introductions. The ability to convert more of our customers to loyal, multi-channel shoppers will positively effect business performance.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Innovation and Transformation</w:t>
      </w:r>
    </w:p>
    <w:p>
      <w:pPr>
        <w:spacing w:after="0" w:line="97" w:lineRule="exact"/>
        <w:rPr>
          <w:sz w:val="20"/>
          <w:szCs w:val="20"/>
          <w:color w:val="auto"/>
        </w:rPr>
      </w:pPr>
    </w:p>
    <w:p>
      <w:pPr>
        <w:ind w:right="200" w:firstLine="490"/>
        <w:spacing w:after="0" w:line="231" w:lineRule="auto"/>
        <w:rPr>
          <w:sz w:val="20"/>
          <w:szCs w:val="20"/>
          <w:color w:val="auto"/>
        </w:rPr>
      </w:pPr>
      <w:r>
        <w:rPr>
          <w:rFonts w:ascii="Times New Roman" w:cs="Times New Roman" w:eastAsia="Times New Roman" w:hAnsi="Times New Roman"/>
          <w:sz w:val="20"/>
          <w:szCs w:val="20"/>
          <w:color w:val="231F20"/>
        </w:rPr>
        <w:t>We have made prudent investments to support our innovation and business transformation strategies. These investments have included: optimization of our veterinary footprint, digital and e-commerce integration; enhanced supply chain capacity including additional distribution centers; data analytical capabilities; technological enhancements; and marketing effectiveness.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Gross Margin and Expense Management</w:t>
      </w:r>
    </w:p>
    <w:p>
      <w:pPr>
        <w:spacing w:after="0" w:line="120"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231F20"/>
        </w:rPr>
        <w:t>Our operating results are impacted by our ability to convert revenue into healthy gross margin and operating margin. There are many factors that impact gross margin results, including (but not limited to) pricing and promotion strategies, customer shipping preferences, sales mix of product, and potential tariffs. Along with</w:t>
      </w:r>
    </w:p>
    <w:p>
      <w:pPr>
        <w:sectPr>
          <w:pgSz w:w="11880" w:h="15480" w:orient="portrait"/>
          <w:cols w:equalWidth="0" w:num="1">
            <w:col w:w="9360"/>
          </w:cols>
          <w:pgMar w:left="1260" w:top="88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9360"/>
          </w:cols>
          <w:pgMar w:left="1260" w:top="880" w:right="1260" w:bottom="0" w:gutter="0" w:footer="0" w:header="0"/>
          <w:type w:val="continuous"/>
        </w:sectPr>
      </w:pPr>
    </w:p>
    <w:bookmarkStart w:id="57" w:name="page58"/>
    <w:bookmarkEnd w:id="57"/>
    <w:p>
      <w:pPr>
        <w:ind w:right="140"/>
        <w:spacing w:after="0" w:line="305" w:lineRule="auto"/>
        <w:rPr>
          <w:sz w:val="20"/>
          <w:szCs w:val="20"/>
          <w:color w:val="auto"/>
        </w:rPr>
      </w:pPr>
      <w:r>
        <w:rPr>
          <w:rFonts w:ascii="Times New Roman" w:cs="Times New Roman" w:eastAsia="Times New Roman" w:hAnsi="Times New Roman"/>
          <w:sz w:val="19"/>
          <w:szCs w:val="19"/>
          <w:color w:val="231F20"/>
        </w:rPr>
        <w:t>managing gross margin, the other lever in delivering operating margin is expense management, which is impacted by our ability to implement cost optimization initiatives and find opportunities to operate more efficiently.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Talent and Culture</w:t>
      </w:r>
    </w:p>
    <w:p>
      <w:pPr>
        <w:spacing w:after="0" w:line="12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31F20"/>
        </w:rPr>
        <w:t>We see our Petco partners as the core to building a purpose-driven performance culture. Our business results rely on our ability to continually: add talented partners, specifically in our scaling business areas like e-commerce, veterinary care, and grooming and training services; provide the best tools, partner training, and competitive compensation to deliver higher sales and better customer experiences; and engender a positive, collaborative, and respectful working environment. Our partners represent the strength of our brand every day and are key to our ongoing growth.</w:t>
      </w:r>
    </w:p>
    <w:p>
      <w:pPr>
        <w:spacing w:after="0" w:line="3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231F20"/>
        </w:rPr>
        <w:t>Significant Components of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Net Sales</w:t>
      </w:r>
    </w:p>
    <w:p>
      <w:pPr>
        <w:spacing w:after="0" w:line="120"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231F20"/>
        </w:rPr>
        <w:t>Our net sales comprise gross sales of products and services, net of sales tax and certain discounts and promotions offered to our customers, including those offered under our customer loyalty programs. Net sales are driven by comparable sales, new pet center locations, and expanded offerings.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Cost of Sales and Gross Profit</w:t>
      </w:r>
    </w:p>
    <w:p>
      <w:pPr>
        <w:spacing w:after="0" w:line="120" w:lineRule="exact"/>
        <w:rPr>
          <w:sz w:val="20"/>
          <w:szCs w:val="20"/>
          <w:color w:val="auto"/>
        </w:rPr>
      </w:pPr>
    </w:p>
    <w:p>
      <w:pPr>
        <w:ind w:right="480" w:firstLine="490"/>
        <w:spacing w:after="0" w:line="277" w:lineRule="auto"/>
        <w:rPr>
          <w:sz w:val="20"/>
          <w:szCs w:val="20"/>
          <w:color w:val="auto"/>
        </w:rPr>
      </w:pPr>
      <w:r>
        <w:rPr>
          <w:rFonts w:ascii="Times New Roman" w:cs="Times New Roman" w:eastAsia="Times New Roman" w:hAnsi="Times New Roman"/>
          <w:sz w:val="20"/>
          <w:szCs w:val="20"/>
          <w:color w:val="231F20"/>
        </w:rPr>
        <w:t>Gross profit is equal to our net sales minus our cost of sales. Gross profit rate measures gross profit as a percentage of net sales.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Our cost of sales includes the following types of expenses:</w:t>
      </w:r>
    </w:p>
    <w:p>
      <w:pPr>
        <w:spacing w:after="0" w:line="134" w:lineRule="exact"/>
        <w:rPr>
          <w:sz w:val="20"/>
          <w:szCs w:val="20"/>
          <w:color w:val="auto"/>
        </w:rPr>
      </w:pPr>
    </w:p>
    <w:p>
      <w:pPr>
        <w:ind w:left="980" w:right="400" w:hanging="490"/>
        <w:spacing w:after="0" w:line="276" w:lineRule="auto"/>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direct costs (net of vendor rebates, allowances, and discounts for products sold) including inbound freight charges;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shipping and handling costs associated with sales to customers;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freight costs associated with moving merchandise inventories;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inventory shrinkage costs and write-downs;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payroll and benefit costs of pet groomers, trainers, veterinarians, and other direct costs of services; and</w:t>
      </w:r>
    </w:p>
    <w:p>
      <w:pPr>
        <w:spacing w:after="0" w:line="133" w:lineRule="exact"/>
        <w:rPr>
          <w:rFonts w:ascii="Arial" w:cs="Arial" w:eastAsia="Arial" w:hAnsi="Arial"/>
          <w:sz w:val="20"/>
          <w:szCs w:val="20"/>
          <w:color w:val="231F20"/>
        </w:rPr>
      </w:pPr>
    </w:p>
    <w:p>
      <w:pPr>
        <w:ind w:left="980" w:hanging="490"/>
        <w:spacing w:after="0" w:line="276" w:lineRule="auto"/>
        <w:tabs>
          <w:tab w:leader="none" w:pos="98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associated with operating our distribution centers including payroll and benefits, occupancy costs, and depreciation.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Selling, General, and Administrative Expense</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following types of expenses are included in our selling, general, and administrative costs (“SG&amp;A”):</w:t>
      </w:r>
    </w:p>
    <w:p>
      <w:pPr>
        <w:spacing w:after="0" w:line="134" w:lineRule="exact"/>
        <w:rPr>
          <w:sz w:val="20"/>
          <w:szCs w:val="20"/>
          <w:color w:val="auto"/>
        </w:rPr>
      </w:pPr>
    </w:p>
    <w:p>
      <w:pPr>
        <w:ind w:left="980" w:hanging="490"/>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payroll and benefit costs of pet care center employees and corporate employees;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occupancy and operating costs of pet care centers and corporate facilities;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depreciation and amortization related to pet care centers and corporate assets;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credit card fees;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store pre-opening and remodeling costs;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advertising costs;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other selling and administrative costs.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Goodwill and Indefinite-Lived Intangible Impairment</w:t>
      </w:r>
    </w:p>
    <w:p>
      <w:pPr>
        <w:spacing w:after="0" w:line="12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In connection with the fiscal 2015 acquisition of us by our Sponsors, we recorded goodwill of approximately $3.0 billion and an indefinite-lived trade name asset of $1.1 billion. We evaluate these assets for impairment annually and whenever events or changes in circumstances indicate that the carrying value may not be recoverable.</w:t>
      </w:r>
    </w:p>
    <w:p>
      <w:pPr>
        <w:sectPr>
          <w:pgSz w:w="11880" w:h="15480" w:orient="portrait"/>
          <w:cols w:equalWidth="0" w:num="1">
            <w:col w:w="9260"/>
          </w:cols>
          <w:pgMar w:left="1260" w:top="880" w:right="1360" w:bottom="0" w:gutter="0" w:footer="0" w:header="0"/>
        </w:sectPr>
      </w:pPr>
    </w:p>
    <w:p>
      <w:pPr>
        <w:spacing w:after="0" w:line="2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9260"/>
          </w:cols>
          <w:pgMar w:left="1260" w:top="880" w:right="1360" w:bottom="0" w:gutter="0" w:footer="0" w:header="0"/>
          <w:type w:val="continuous"/>
        </w:sectPr>
      </w:pPr>
    </w:p>
    <w:bookmarkStart w:id="58" w:name="page59"/>
    <w:bookmarkEnd w:id="58"/>
    <w:p>
      <w:pPr>
        <w:ind w:right="80"/>
        <w:spacing w:after="0" w:line="252" w:lineRule="auto"/>
        <w:rPr>
          <w:sz w:val="20"/>
          <w:szCs w:val="20"/>
          <w:color w:val="auto"/>
        </w:rPr>
      </w:pPr>
      <w:r>
        <w:rPr>
          <w:rFonts w:ascii="Times New Roman" w:cs="Times New Roman" w:eastAsia="Times New Roman" w:hAnsi="Times New Roman"/>
          <w:sz w:val="20"/>
          <w:szCs w:val="20"/>
          <w:color w:val="231F20"/>
        </w:rPr>
        <w:t>During the third quarter of fiscal 2023, we concluded indicators of impairment existed due to declines in the Company’s share price, as well as current macroeconomic conditions, and performed an interim impairment test of our goodwill and indefinite-lived trade name, which resulted in a pre-tax goodwill impairment charge of $1,222.5 million. Please read the discussion of these assets under “Critical Accounting Policies and Estimates.”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Interest Expense</w:t>
      </w:r>
    </w:p>
    <w:p>
      <w:pPr>
        <w:spacing w:after="0" w:line="24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Our interest expense in fiscal 2023 through fiscal 2025 was primarily associated with our First Lien Term Loan, ABL Revolving Credit Facility, and interest rate hedges. Refer to the discussion under “Liquidity and Capital Resources—Sources of Liquidity” for further information.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 Expense (Benefit)</w:t>
      </w:r>
    </w:p>
    <w:p>
      <w:pPr>
        <w:spacing w:after="0" w:line="120"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231F20"/>
        </w:rPr>
        <w:t>Income taxes consist of an estimate of federal and state income taxes based on enacted federal and state tax rates, as adjusted for allowable credits, deductions, and the valuation allowance against deferred tax assets, as applicable.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from Equity Method Investees</w:t>
      </w:r>
    </w:p>
    <w:p>
      <w:pPr>
        <w:spacing w:after="0" w:line="24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31F20"/>
        </w:rPr>
        <w:t>Investments for which the Company exercises significant influence but does not have control are accounted for under the equity method. Equity method investment activity is primarily related to a 50% joint venture with Grupo Gigante, S.A.B. de C.V. (the “Mexico joint venture”) to establish Petco locations in Mexico and Chile. The Company’s share of the investee’s results is presented as either income or loss from equity method investees in the accompanying consolidated statements of operations.</w:t>
      </w:r>
    </w:p>
    <w:p>
      <w:pPr>
        <w:sectPr>
          <w:pgSz w:w="11880" w:h="15480" w:orient="portrait"/>
          <w:cols w:equalWidth="0" w:num="1">
            <w:col w:w="9280"/>
          </w:cols>
          <w:pgMar w:left="1260" w:top="880"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9280"/>
          </w:cols>
          <w:pgMar w:left="1260" w:top="880" w:right="1340" w:bottom="0" w:gutter="0" w:footer="0" w:header="0"/>
          <w:type w:val="continuous"/>
        </w:sectPr>
      </w:pPr>
    </w:p>
    <w:bookmarkStart w:id="59" w:name="page60"/>
    <w:bookmarkEnd w:id="59"/>
    <w:p>
      <w:pPr>
        <w:ind w:left="3820"/>
        <w:spacing w:after="0"/>
        <w:rPr>
          <w:sz w:val="20"/>
          <w:szCs w:val="20"/>
          <w:color w:val="auto"/>
        </w:rPr>
      </w:pPr>
      <w:r>
        <w:rPr>
          <w:rFonts w:ascii="Times New Roman" w:cs="Times New Roman" w:eastAsia="Times New Roman" w:hAnsi="Times New Roman"/>
          <w:sz w:val="20"/>
          <w:szCs w:val="20"/>
          <w:b w:val="1"/>
          <w:bCs w:val="1"/>
          <w:color w:val="231F20"/>
        </w:rPr>
        <w:t>Executive Summary</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Comparing fiscal 2025 and fiscal 2024, our results included the following:</w:t>
      </w:r>
    </w:p>
    <w:p>
      <w:pPr>
        <w:spacing w:after="0" w:line="134" w:lineRule="exact"/>
        <w:rPr>
          <w:sz w:val="20"/>
          <w:szCs w:val="20"/>
          <w:color w:val="auto"/>
        </w:rPr>
      </w:pPr>
    </w:p>
    <w:p>
      <w:pPr>
        <w:ind w:left="980" w:right="80" w:hanging="490"/>
        <w:spacing w:after="0" w:line="276" w:lineRule="auto"/>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a decrease in net sales from $6.12 billion to $5.96 billion, representing a period-over-period decrease of 2.5% and comparable sales decrease of 1.6%;</w:t>
      </w:r>
    </w:p>
    <w:p>
      <w:pPr>
        <w:spacing w:after="0" w:line="64" w:lineRule="exact"/>
        <w:rPr>
          <w:rFonts w:ascii="Arial" w:cs="Arial" w:eastAsia="Arial" w:hAnsi="Arial"/>
          <w:sz w:val="20"/>
          <w:szCs w:val="20"/>
          <w:color w:val="231F20"/>
        </w:rPr>
      </w:pPr>
    </w:p>
    <w:p>
      <w:pPr>
        <w:ind w:left="980" w:right="420" w:hanging="490"/>
        <w:spacing w:after="0" w:line="276" w:lineRule="auto"/>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operating income of $120.4 million, compared to operating income of $7.1 million in the prior year period;</w:t>
      </w:r>
    </w:p>
    <w:p>
      <w:pPr>
        <w:spacing w:after="0" w:line="64" w:lineRule="exact"/>
        <w:rPr>
          <w:rFonts w:ascii="Arial" w:cs="Arial" w:eastAsia="Arial" w:hAnsi="Arial"/>
          <w:sz w:val="20"/>
          <w:szCs w:val="20"/>
          <w:color w:val="231F20"/>
        </w:rPr>
      </w:pPr>
    </w:p>
    <w:p>
      <w:pPr>
        <w:ind w:left="980" w:right="160" w:hanging="490"/>
        <w:spacing w:after="0" w:line="276" w:lineRule="auto"/>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net income attributable to Class A and B-1 common stockholders of $9.1 million, compared to net loss attributable to Class A and B-1 common stockholders of $101.8 million in the prior year, and;</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an increase in Adjusted EBITDA from $336.5 million to $408.2 million.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tables summarize our results of operations and the percent of net sales of line items included in our consolidated statements of operations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Fiscal years ended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4"/>
        </w:trPr>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January 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February 3,</w:t>
            </w:r>
          </w:p>
        </w:tc>
      </w:tr>
      <w:tr>
        <w:trPr>
          <w:trHeight w:val="203"/>
        </w:trPr>
        <w:tc>
          <w:tcPr>
            <w:tcW w:w="54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center"/>
              <w:ind w:right="43"/>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center"/>
              <w:ind w:right="43"/>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center"/>
              <w:ind w:right="43"/>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80" w:type="dxa"/>
            <w:vAlign w:val="bottom"/>
          </w:tcPr>
          <w:p>
            <w:pPr>
              <w:spacing w:after="0"/>
              <w:rPr>
                <w:sz w:val="17"/>
                <w:szCs w:val="17"/>
                <w:color w:val="auto"/>
              </w:rPr>
            </w:pPr>
          </w:p>
        </w:tc>
      </w:tr>
      <w:tr>
        <w:trPr>
          <w:trHeight w:val="193"/>
        </w:trPr>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231F20"/>
              </w:rPr>
              <w:t>(53 weeks)</w:t>
            </w:r>
          </w:p>
        </w:tc>
        <w:tc>
          <w:tcPr>
            <w:tcW w:w="80" w:type="dxa"/>
            <w:vAlign w:val="bottom"/>
          </w:tcPr>
          <w:p>
            <w:pPr>
              <w:spacing w:after="0"/>
              <w:rPr>
                <w:sz w:val="16"/>
                <w:szCs w:val="16"/>
                <w:color w:val="auto"/>
              </w:rPr>
            </w:pPr>
          </w:p>
        </w:tc>
      </w:tr>
      <w:tr>
        <w:trPr>
          <w:trHeight w:val="244"/>
        </w:trPr>
        <w:tc>
          <w:tcPr>
            <w:tcW w:w="54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Net sales:</w:t>
            </w:r>
          </w:p>
        </w:tc>
        <w:tc>
          <w:tcPr>
            <w:tcW w:w="120" w:type="dxa"/>
            <w:vAlign w:val="bottom"/>
            <w:shd w:val="clear" w:color="auto" w:fill="EAEBEC"/>
          </w:tcPr>
          <w:p>
            <w:pPr>
              <w:spacing w:after="0"/>
              <w:rPr>
                <w:sz w:val="21"/>
                <w:szCs w:val="21"/>
                <w:color w:val="auto"/>
              </w:rPr>
            </w:pPr>
          </w:p>
        </w:tc>
        <w:tc>
          <w:tcPr>
            <w:tcW w:w="102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02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02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r>
      <w:tr>
        <w:trPr>
          <w:trHeight w:val="244"/>
        </w:trPr>
        <w:tc>
          <w:tcPr>
            <w:tcW w:w="54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4,936,323</w:t>
            </w:r>
          </w:p>
        </w:tc>
        <w:tc>
          <w:tcPr>
            <w:tcW w:w="80" w:type="dxa"/>
            <w:vAlign w:val="bottom"/>
          </w:tcPr>
          <w:p>
            <w:pPr>
              <w:spacing w:after="0"/>
              <w:rPr>
                <w:sz w:val="21"/>
                <w:szCs w:val="21"/>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5,116,891</w:t>
            </w:r>
          </w:p>
        </w:tc>
        <w:tc>
          <w:tcPr>
            <w:tcW w:w="80" w:type="dxa"/>
            <w:vAlign w:val="bottom"/>
          </w:tcPr>
          <w:p>
            <w:pPr>
              <w:spacing w:after="0"/>
              <w:rPr>
                <w:sz w:val="21"/>
                <w:szCs w:val="21"/>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5,273,710</w:t>
            </w:r>
          </w:p>
        </w:tc>
        <w:tc>
          <w:tcPr>
            <w:tcW w:w="80" w:type="dxa"/>
            <w:vAlign w:val="bottom"/>
          </w:tcPr>
          <w:p>
            <w:pPr>
              <w:spacing w:after="0"/>
              <w:rPr>
                <w:sz w:val="21"/>
                <w:szCs w:val="21"/>
                <w:color w:val="auto"/>
              </w:rPr>
            </w:pPr>
          </w:p>
        </w:tc>
      </w:tr>
      <w:tr>
        <w:trPr>
          <w:trHeight w:val="244"/>
        </w:trPr>
        <w:tc>
          <w:tcPr>
            <w:tcW w:w="5420" w:type="dxa"/>
            <w:vAlign w:val="bottom"/>
            <w:shd w:val="clear" w:color="auto" w:fill="EAEBEC"/>
          </w:tcPr>
          <w:p>
            <w:pPr>
              <w:ind w:left="100"/>
              <w:spacing w:after="0"/>
              <w:rPr>
                <w:sz w:val="20"/>
                <w:szCs w:val="20"/>
                <w:color w:val="auto"/>
              </w:rPr>
            </w:pPr>
            <w:r>
              <w:rPr>
                <w:rFonts w:ascii="Times New Roman" w:cs="Times New Roman" w:eastAsia="Times New Roman" w:hAnsi="Times New Roman"/>
                <w:sz w:val="20"/>
                <w:szCs w:val="20"/>
                <w:color w:val="231F20"/>
              </w:rPr>
              <w:t>Services and other</w:t>
            </w:r>
          </w:p>
        </w:tc>
        <w:tc>
          <w:tcPr>
            <w:tcW w:w="120" w:type="dxa"/>
            <w:vAlign w:val="bottom"/>
            <w:tcBorders>
              <w:bottom w:val="single" w:sz="8" w:color="231F20"/>
            </w:tcBorders>
            <w:shd w:val="clear" w:color="auto" w:fill="EAEBEC"/>
          </w:tcPr>
          <w:p>
            <w:pPr>
              <w:spacing w:after="0"/>
              <w:rPr>
                <w:sz w:val="21"/>
                <w:szCs w:val="21"/>
                <w:color w:val="auto"/>
              </w:rPr>
            </w:pPr>
          </w:p>
        </w:tc>
        <w:tc>
          <w:tcPr>
            <w:tcW w:w="10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1,025,144</w:t>
            </w:r>
          </w:p>
        </w:tc>
        <w:tc>
          <w:tcPr>
            <w:tcW w:w="80" w:type="dxa"/>
            <w:vAlign w:val="bottom"/>
            <w:shd w:val="clear" w:color="auto" w:fill="EAEBEC"/>
          </w:tcPr>
          <w:p>
            <w:pPr>
              <w:spacing w:after="0"/>
              <w:rPr>
                <w:sz w:val="21"/>
                <w:szCs w:val="21"/>
                <w:color w:val="auto"/>
              </w:rPr>
            </w:pPr>
          </w:p>
        </w:tc>
        <w:tc>
          <w:tcPr>
            <w:tcW w:w="140" w:type="dxa"/>
            <w:vAlign w:val="bottom"/>
            <w:tcBorders>
              <w:bottom w:val="single" w:sz="8" w:color="231F20"/>
            </w:tcBorders>
            <w:shd w:val="clear" w:color="auto" w:fill="EAEBEC"/>
          </w:tcPr>
          <w:p>
            <w:pPr>
              <w:spacing w:after="0"/>
              <w:rPr>
                <w:sz w:val="21"/>
                <w:szCs w:val="21"/>
                <w:color w:val="auto"/>
              </w:rPr>
            </w:pPr>
          </w:p>
        </w:tc>
        <w:tc>
          <w:tcPr>
            <w:tcW w:w="120" w:type="dxa"/>
            <w:vAlign w:val="bottom"/>
            <w:tcBorders>
              <w:bottom w:val="single" w:sz="8" w:color="231F20"/>
            </w:tcBorders>
            <w:shd w:val="clear" w:color="auto" w:fill="EAEBEC"/>
          </w:tcPr>
          <w:p>
            <w:pPr>
              <w:spacing w:after="0"/>
              <w:rPr>
                <w:sz w:val="21"/>
                <w:szCs w:val="21"/>
                <w:color w:val="auto"/>
              </w:rPr>
            </w:pPr>
          </w:p>
        </w:tc>
        <w:tc>
          <w:tcPr>
            <w:tcW w:w="10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999,571</w:t>
            </w:r>
          </w:p>
        </w:tc>
        <w:tc>
          <w:tcPr>
            <w:tcW w:w="8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20" w:type="dxa"/>
            <w:vAlign w:val="bottom"/>
            <w:tcBorders>
              <w:bottom w:val="single" w:sz="8" w:color="231F20"/>
            </w:tcBorders>
            <w:shd w:val="clear" w:color="auto" w:fill="EAEBEC"/>
          </w:tcPr>
          <w:p>
            <w:pPr>
              <w:spacing w:after="0"/>
              <w:rPr>
                <w:sz w:val="21"/>
                <w:szCs w:val="21"/>
                <w:color w:val="auto"/>
              </w:rPr>
            </w:pPr>
          </w:p>
        </w:tc>
        <w:tc>
          <w:tcPr>
            <w:tcW w:w="10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981,574</w:t>
            </w:r>
          </w:p>
        </w:tc>
        <w:tc>
          <w:tcPr>
            <w:tcW w:w="80" w:type="dxa"/>
            <w:vAlign w:val="bottom"/>
            <w:shd w:val="clear" w:color="auto" w:fill="EAEBEC"/>
          </w:tcPr>
          <w:p>
            <w:pPr>
              <w:spacing w:after="0"/>
              <w:rPr>
                <w:sz w:val="21"/>
                <w:szCs w:val="21"/>
                <w:color w:val="auto"/>
              </w:rPr>
            </w:pPr>
          </w:p>
        </w:tc>
      </w:tr>
      <w:tr>
        <w:trPr>
          <w:trHeight w:val="239"/>
        </w:trPr>
        <w:tc>
          <w:tcPr>
            <w:tcW w:w="54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 net sales</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5,961,467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6,116,462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6,255,284</w:t>
            </w:r>
          </w:p>
        </w:tc>
        <w:tc>
          <w:tcPr>
            <w:tcW w:w="80" w:type="dxa"/>
            <w:vAlign w:val="bottom"/>
          </w:tcPr>
          <w:p>
            <w:pPr>
              <w:spacing w:after="0"/>
              <w:rPr>
                <w:sz w:val="20"/>
                <w:szCs w:val="20"/>
                <w:color w:val="auto"/>
              </w:rPr>
            </w:pPr>
          </w:p>
        </w:tc>
      </w:tr>
      <w:tr>
        <w:trPr>
          <w:trHeight w:val="244"/>
        </w:trPr>
        <w:tc>
          <w:tcPr>
            <w:tcW w:w="54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Cost of sales:</w:t>
            </w:r>
          </w:p>
        </w:tc>
        <w:tc>
          <w:tcPr>
            <w:tcW w:w="120" w:type="dxa"/>
            <w:vAlign w:val="bottom"/>
            <w:shd w:val="clear" w:color="auto" w:fill="EAEBEC"/>
          </w:tcPr>
          <w:p>
            <w:pPr>
              <w:spacing w:after="0"/>
              <w:rPr>
                <w:sz w:val="21"/>
                <w:szCs w:val="21"/>
                <w:color w:val="auto"/>
              </w:rPr>
            </w:pPr>
          </w:p>
        </w:tc>
        <w:tc>
          <w:tcPr>
            <w:tcW w:w="102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02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02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r>
      <w:tr>
        <w:trPr>
          <w:trHeight w:val="244"/>
        </w:trPr>
        <w:tc>
          <w:tcPr>
            <w:tcW w:w="542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Products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3,028,909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3,173,269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3,269,628</w:t>
            </w:r>
          </w:p>
        </w:tc>
        <w:tc>
          <w:tcPr>
            <w:tcW w:w="80" w:type="dxa"/>
            <w:vAlign w:val="bottom"/>
          </w:tcPr>
          <w:p>
            <w:pPr>
              <w:spacing w:after="0"/>
              <w:rPr>
                <w:sz w:val="21"/>
                <w:szCs w:val="21"/>
                <w:color w:val="auto"/>
              </w:rPr>
            </w:pPr>
          </w:p>
        </w:tc>
      </w:tr>
      <w:tr>
        <w:trPr>
          <w:trHeight w:val="244"/>
        </w:trPr>
        <w:tc>
          <w:tcPr>
            <w:tcW w:w="5420" w:type="dxa"/>
            <w:vAlign w:val="bottom"/>
            <w:shd w:val="clear" w:color="auto" w:fill="EAEBEC"/>
          </w:tcPr>
          <w:p>
            <w:pPr>
              <w:ind w:left="100"/>
              <w:spacing w:after="0"/>
              <w:rPr>
                <w:sz w:val="20"/>
                <w:szCs w:val="20"/>
                <w:color w:val="auto"/>
              </w:rPr>
            </w:pPr>
            <w:r>
              <w:rPr>
                <w:rFonts w:ascii="Times New Roman" w:cs="Times New Roman" w:eastAsia="Times New Roman" w:hAnsi="Times New Roman"/>
                <w:sz w:val="20"/>
                <w:szCs w:val="20"/>
                <w:color w:val="231F20"/>
              </w:rPr>
              <w:t>Services and other</w:t>
            </w:r>
          </w:p>
        </w:tc>
        <w:tc>
          <w:tcPr>
            <w:tcW w:w="120" w:type="dxa"/>
            <w:vAlign w:val="bottom"/>
            <w:tcBorders>
              <w:bottom w:val="single" w:sz="8" w:color="231F20"/>
            </w:tcBorders>
            <w:shd w:val="clear" w:color="auto" w:fill="EAEBEC"/>
          </w:tcPr>
          <w:p>
            <w:pPr>
              <w:spacing w:after="0"/>
              <w:rPr>
                <w:sz w:val="21"/>
                <w:szCs w:val="21"/>
                <w:color w:val="auto"/>
              </w:rPr>
            </w:pPr>
          </w:p>
        </w:tc>
        <w:tc>
          <w:tcPr>
            <w:tcW w:w="10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627,486</w:t>
            </w:r>
          </w:p>
        </w:tc>
        <w:tc>
          <w:tcPr>
            <w:tcW w:w="80" w:type="dxa"/>
            <w:vAlign w:val="bottom"/>
            <w:shd w:val="clear" w:color="auto" w:fill="EAEBEC"/>
          </w:tcPr>
          <w:p>
            <w:pPr>
              <w:spacing w:after="0"/>
              <w:rPr>
                <w:sz w:val="21"/>
                <w:szCs w:val="21"/>
                <w:color w:val="auto"/>
              </w:rPr>
            </w:pPr>
          </w:p>
        </w:tc>
        <w:tc>
          <w:tcPr>
            <w:tcW w:w="140" w:type="dxa"/>
            <w:vAlign w:val="bottom"/>
            <w:tcBorders>
              <w:bottom w:val="single" w:sz="8" w:color="231F20"/>
            </w:tcBorders>
            <w:shd w:val="clear" w:color="auto" w:fill="EAEBEC"/>
          </w:tcPr>
          <w:p>
            <w:pPr>
              <w:spacing w:after="0"/>
              <w:rPr>
                <w:sz w:val="21"/>
                <w:szCs w:val="21"/>
                <w:color w:val="auto"/>
              </w:rPr>
            </w:pPr>
          </w:p>
        </w:tc>
        <w:tc>
          <w:tcPr>
            <w:tcW w:w="120" w:type="dxa"/>
            <w:vAlign w:val="bottom"/>
            <w:tcBorders>
              <w:bottom w:val="single" w:sz="8" w:color="231F20"/>
            </w:tcBorders>
            <w:shd w:val="clear" w:color="auto" w:fill="EAEBEC"/>
          </w:tcPr>
          <w:p>
            <w:pPr>
              <w:spacing w:after="0"/>
              <w:rPr>
                <w:sz w:val="21"/>
                <w:szCs w:val="21"/>
                <w:color w:val="auto"/>
              </w:rPr>
            </w:pPr>
          </w:p>
        </w:tc>
        <w:tc>
          <w:tcPr>
            <w:tcW w:w="10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618,791</w:t>
            </w:r>
          </w:p>
        </w:tc>
        <w:tc>
          <w:tcPr>
            <w:tcW w:w="80" w:type="dxa"/>
            <w:vAlign w:val="bottom"/>
            <w:shd w:val="clear" w:color="auto" w:fill="EAEBEC"/>
          </w:tcPr>
          <w:p>
            <w:pPr>
              <w:spacing w:after="0"/>
              <w:rPr>
                <w:sz w:val="21"/>
                <w:szCs w:val="21"/>
                <w:color w:val="auto"/>
              </w:rPr>
            </w:pPr>
          </w:p>
        </w:tc>
        <w:tc>
          <w:tcPr>
            <w:tcW w:w="140" w:type="dxa"/>
            <w:vAlign w:val="bottom"/>
            <w:tcBorders>
              <w:bottom w:val="single" w:sz="8" w:color="231F20"/>
            </w:tcBorders>
            <w:shd w:val="clear" w:color="auto" w:fill="EAEBEC"/>
          </w:tcPr>
          <w:p>
            <w:pPr>
              <w:spacing w:after="0"/>
              <w:rPr>
                <w:sz w:val="21"/>
                <w:szCs w:val="21"/>
                <w:color w:val="auto"/>
              </w:rPr>
            </w:pPr>
          </w:p>
        </w:tc>
        <w:tc>
          <w:tcPr>
            <w:tcW w:w="120" w:type="dxa"/>
            <w:vAlign w:val="bottom"/>
            <w:tcBorders>
              <w:bottom w:val="single" w:sz="8" w:color="231F20"/>
            </w:tcBorders>
            <w:shd w:val="clear" w:color="auto" w:fill="EAEBEC"/>
          </w:tcPr>
          <w:p>
            <w:pPr>
              <w:spacing w:after="0"/>
              <w:rPr>
                <w:sz w:val="21"/>
                <w:szCs w:val="21"/>
                <w:color w:val="auto"/>
              </w:rPr>
            </w:pPr>
          </w:p>
        </w:tc>
        <w:tc>
          <w:tcPr>
            <w:tcW w:w="10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631,821</w:t>
            </w:r>
          </w:p>
        </w:tc>
        <w:tc>
          <w:tcPr>
            <w:tcW w:w="80" w:type="dxa"/>
            <w:vAlign w:val="bottom"/>
            <w:shd w:val="clear" w:color="auto" w:fill="EAEBEC"/>
          </w:tcPr>
          <w:p>
            <w:pPr>
              <w:spacing w:after="0"/>
              <w:rPr>
                <w:sz w:val="21"/>
                <w:szCs w:val="21"/>
                <w:color w:val="auto"/>
              </w:rPr>
            </w:pPr>
          </w:p>
        </w:tc>
      </w:tr>
      <w:tr>
        <w:trPr>
          <w:trHeight w:val="239"/>
        </w:trPr>
        <w:tc>
          <w:tcPr>
            <w:tcW w:w="5420" w:type="dxa"/>
            <w:vAlign w:val="bottom"/>
            <w:tcBorders>
              <w:bottom w:val="single" w:sz="8" w:color="EAEBEC"/>
            </w:tcBorders>
          </w:tcPr>
          <w:p>
            <w:pPr>
              <w:ind w:left="200"/>
              <w:spacing w:after="0"/>
              <w:rPr>
                <w:sz w:val="20"/>
                <w:szCs w:val="20"/>
                <w:color w:val="auto"/>
              </w:rPr>
            </w:pPr>
            <w:r>
              <w:rPr>
                <w:rFonts w:ascii="Times New Roman" w:cs="Times New Roman" w:eastAsia="Times New Roman" w:hAnsi="Times New Roman"/>
                <w:sz w:val="20"/>
                <w:szCs w:val="20"/>
                <w:color w:val="231F20"/>
              </w:rPr>
              <w:t>Total cost of sales</w:t>
            </w:r>
          </w:p>
        </w:tc>
        <w:tc>
          <w:tcPr>
            <w:tcW w:w="12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3,656,395</w:t>
            </w:r>
          </w:p>
        </w:tc>
        <w:tc>
          <w:tcPr>
            <w:tcW w:w="80" w:type="dxa"/>
            <w:vAlign w:val="bottom"/>
            <w:tcBorders>
              <w:bottom w:val="single" w:sz="8" w:color="EAEBEC"/>
            </w:tcBorders>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3,792,060</w:t>
            </w:r>
          </w:p>
        </w:tc>
        <w:tc>
          <w:tcPr>
            <w:tcW w:w="80" w:type="dxa"/>
            <w:vAlign w:val="bottom"/>
            <w:tcBorders>
              <w:bottom w:val="single" w:sz="8" w:color="EAEBEC"/>
            </w:tcBorders>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3,901,449</w:t>
            </w:r>
          </w:p>
        </w:tc>
        <w:tc>
          <w:tcPr>
            <w:tcW w:w="80" w:type="dxa"/>
            <w:vAlign w:val="bottom"/>
            <w:tcBorders>
              <w:bottom w:val="single" w:sz="8" w:color="EAEBEC"/>
            </w:tcBorders>
          </w:tcPr>
          <w:p>
            <w:pPr>
              <w:spacing w:after="0"/>
              <w:rPr>
                <w:sz w:val="20"/>
                <w:szCs w:val="20"/>
                <w:color w:val="auto"/>
              </w:rPr>
            </w:pPr>
          </w:p>
        </w:tc>
      </w:tr>
      <w:tr>
        <w:trPr>
          <w:trHeight w:val="239"/>
        </w:trPr>
        <w:tc>
          <w:tcPr>
            <w:tcW w:w="5420" w:type="dxa"/>
            <w:vAlign w:val="bottom"/>
            <w:shd w:val="clear" w:color="auto" w:fill="EAEBEC"/>
          </w:tcPr>
          <w:p>
            <w:pPr>
              <w:ind w:left="400"/>
              <w:spacing w:after="0"/>
              <w:rPr>
                <w:sz w:val="20"/>
                <w:szCs w:val="20"/>
                <w:color w:val="auto"/>
              </w:rPr>
            </w:pPr>
            <w:r>
              <w:rPr>
                <w:rFonts w:ascii="Times New Roman" w:cs="Times New Roman" w:eastAsia="Times New Roman" w:hAnsi="Times New Roman"/>
                <w:sz w:val="20"/>
                <w:szCs w:val="20"/>
                <w:color w:val="231F20"/>
              </w:rPr>
              <w:t>Gross profit</w:t>
            </w:r>
          </w:p>
        </w:tc>
        <w:tc>
          <w:tcPr>
            <w:tcW w:w="120" w:type="dxa"/>
            <w:vAlign w:val="bottom"/>
            <w:shd w:val="clear" w:color="auto" w:fill="EAEBEC"/>
          </w:tcPr>
          <w:p>
            <w:pPr>
              <w:spacing w:after="0"/>
              <w:rPr>
                <w:sz w:val="20"/>
                <w:szCs w:val="20"/>
                <w:color w:val="auto"/>
              </w:rPr>
            </w:pP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2,305,072</w:t>
            </w:r>
          </w:p>
        </w:tc>
        <w:tc>
          <w:tcPr>
            <w:tcW w:w="8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120" w:type="dxa"/>
            <w:vAlign w:val="bottom"/>
            <w:shd w:val="clear" w:color="auto" w:fill="EAEBEC"/>
          </w:tcPr>
          <w:p>
            <w:pPr>
              <w:spacing w:after="0"/>
              <w:rPr>
                <w:sz w:val="20"/>
                <w:szCs w:val="20"/>
                <w:color w:val="auto"/>
              </w:rPr>
            </w:pP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2,324,402</w:t>
            </w:r>
          </w:p>
        </w:tc>
        <w:tc>
          <w:tcPr>
            <w:tcW w:w="8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120" w:type="dxa"/>
            <w:vAlign w:val="bottom"/>
            <w:shd w:val="clear" w:color="auto" w:fill="EAEBEC"/>
          </w:tcPr>
          <w:p>
            <w:pPr>
              <w:spacing w:after="0"/>
              <w:rPr>
                <w:sz w:val="20"/>
                <w:szCs w:val="20"/>
                <w:color w:val="auto"/>
              </w:rPr>
            </w:pP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2,353,835</w:t>
            </w:r>
          </w:p>
        </w:tc>
        <w:tc>
          <w:tcPr>
            <w:tcW w:w="80" w:type="dxa"/>
            <w:vAlign w:val="bottom"/>
            <w:shd w:val="clear" w:color="auto" w:fill="EAEBEC"/>
          </w:tcPr>
          <w:p>
            <w:pPr>
              <w:spacing w:after="0"/>
              <w:rPr>
                <w:sz w:val="20"/>
                <w:szCs w:val="20"/>
                <w:color w:val="auto"/>
              </w:rPr>
            </w:pPr>
          </w:p>
        </w:tc>
      </w:tr>
      <w:tr>
        <w:trPr>
          <w:trHeight w:val="244"/>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Selling, general and administrative expenses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2,184,639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2,317,351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2,311,625</w:t>
            </w:r>
          </w:p>
        </w:tc>
        <w:tc>
          <w:tcPr>
            <w:tcW w:w="80" w:type="dxa"/>
            <w:vAlign w:val="bottom"/>
          </w:tcPr>
          <w:p>
            <w:pPr>
              <w:spacing w:after="0"/>
              <w:rPr>
                <w:sz w:val="21"/>
                <w:szCs w:val="21"/>
                <w:color w:val="auto"/>
              </w:rPr>
            </w:pPr>
          </w:p>
        </w:tc>
      </w:tr>
      <w:tr>
        <w:trPr>
          <w:trHeight w:val="244"/>
        </w:trPr>
        <w:tc>
          <w:tcPr>
            <w:tcW w:w="54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Goodwill impairment</w:t>
            </w:r>
          </w:p>
        </w:tc>
        <w:tc>
          <w:tcPr>
            <w:tcW w:w="120" w:type="dxa"/>
            <w:vAlign w:val="bottom"/>
            <w:shd w:val="clear" w:color="auto" w:fill="EAEBEC"/>
          </w:tcPr>
          <w:p>
            <w:pPr>
              <w:spacing w:after="0"/>
              <w:rPr>
                <w:sz w:val="21"/>
                <w:szCs w:val="21"/>
                <w:color w:val="auto"/>
              </w:rPr>
            </w:pPr>
          </w:p>
        </w:tc>
        <w:tc>
          <w:tcPr>
            <w:tcW w:w="110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10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1,222,524</w:t>
            </w:r>
          </w:p>
        </w:tc>
        <w:tc>
          <w:tcPr>
            <w:tcW w:w="80" w:type="dxa"/>
            <w:vAlign w:val="bottom"/>
            <w:shd w:val="clear" w:color="auto" w:fill="EAEBEC"/>
          </w:tcPr>
          <w:p>
            <w:pPr>
              <w:spacing w:after="0"/>
              <w:rPr>
                <w:sz w:val="21"/>
                <w:szCs w:val="21"/>
                <w:color w:val="auto"/>
              </w:rPr>
            </w:pPr>
          </w:p>
        </w:tc>
      </w:tr>
      <w:tr>
        <w:trPr>
          <w:trHeight w:val="239"/>
        </w:trPr>
        <w:tc>
          <w:tcPr>
            <w:tcW w:w="54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Operating income (loss)</w:t>
            </w:r>
          </w:p>
        </w:tc>
        <w:tc>
          <w:tcPr>
            <w:tcW w:w="120" w:type="dxa"/>
            <w:vAlign w:val="bottom"/>
            <w:tcBorders>
              <w:top w:val="single" w:sz="8" w:color="231F20"/>
            </w:tcBorders>
          </w:tcPr>
          <w:p>
            <w:pPr>
              <w:spacing w:after="0"/>
              <w:rPr>
                <w:sz w:val="20"/>
                <w:szCs w:val="20"/>
                <w:color w:val="auto"/>
              </w:rPr>
            </w:pPr>
          </w:p>
        </w:tc>
        <w:tc>
          <w:tcPr>
            <w:tcW w:w="10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120,433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231F20"/>
            </w:tcBorders>
          </w:tcPr>
          <w:p>
            <w:pPr>
              <w:spacing w:after="0"/>
              <w:rPr>
                <w:sz w:val="20"/>
                <w:szCs w:val="20"/>
                <w:color w:val="auto"/>
              </w:rPr>
            </w:pPr>
          </w:p>
        </w:tc>
        <w:tc>
          <w:tcPr>
            <w:tcW w:w="10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7,051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231F20"/>
            </w:tcBorders>
          </w:tcPr>
          <w:p>
            <w:pPr>
              <w:spacing w:after="0"/>
              <w:rPr>
                <w:sz w:val="20"/>
                <w:szCs w:val="20"/>
                <w:color w:val="auto"/>
              </w:rPr>
            </w:pPr>
          </w:p>
        </w:tc>
        <w:tc>
          <w:tcPr>
            <w:tcW w:w="10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(1,180,314)</w:t>
            </w:r>
          </w:p>
        </w:tc>
        <w:tc>
          <w:tcPr>
            <w:tcW w:w="80" w:type="dxa"/>
            <w:vAlign w:val="bottom"/>
          </w:tcPr>
          <w:p>
            <w:pPr>
              <w:spacing w:after="0"/>
              <w:rPr>
                <w:sz w:val="20"/>
                <w:szCs w:val="20"/>
                <w:color w:val="auto"/>
              </w:rPr>
            </w:pPr>
          </w:p>
        </w:tc>
      </w:tr>
      <w:tr>
        <w:trPr>
          <w:trHeight w:val="244"/>
        </w:trPr>
        <w:tc>
          <w:tcPr>
            <w:tcW w:w="54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Interest income</w:t>
            </w:r>
          </w:p>
        </w:tc>
        <w:tc>
          <w:tcPr>
            <w:tcW w:w="120" w:type="dxa"/>
            <w:vAlign w:val="bottom"/>
            <w:shd w:val="clear" w:color="auto" w:fill="EAEBEC"/>
          </w:tcPr>
          <w:p>
            <w:pPr>
              <w:spacing w:after="0"/>
              <w:rPr>
                <w:sz w:val="21"/>
                <w:szCs w:val="21"/>
                <w:color w:val="auto"/>
              </w:rPr>
            </w:pPr>
          </w:p>
        </w:tc>
        <w:tc>
          <w:tcPr>
            <w:tcW w:w="110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(6,305)</w:t>
            </w: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10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(3,714)</w:t>
            </w: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10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(3,405)</w:t>
            </w:r>
          </w:p>
        </w:tc>
      </w:tr>
      <w:tr>
        <w:trPr>
          <w:trHeight w:val="244"/>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Interest expense</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131,199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143,531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150,909</w:t>
            </w:r>
          </w:p>
        </w:tc>
        <w:tc>
          <w:tcPr>
            <w:tcW w:w="80" w:type="dxa"/>
            <w:vAlign w:val="bottom"/>
          </w:tcPr>
          <w:p>
            <w:pPr>
              <w:spacing w:after="0"/>
              <w:rPr>
                <w:sz w:val="21"/>
                <w:szCs w:val="21"/>
                <w:color w:val="auto"/>
              </w:rPr>
            </w:pPr>
          </w:p>
        </w:tc>
      </w:tr>
      <w:tr>
        <w:trPr>
          <w:trHeight w:val="244"/>
        </w:trPr>
        <w:tc>
          <w:tcPr>
            <w:tcW w:w="54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Loss on partial extinguishment of debt</w:t>
            </w:r>
          </w:p>
        </w:tc>
        <w:tc>
          <w:tcPr>
            <w:tcW w:w="120" w:type="dxa"/>
            <w:vAlign w:val="bottom"/>
            <w:shd w:val="clear" w:color="auto" w:fill="EAEBEC"/>
          </w:tcPr>
          <w:p>
            <w:pPr>
              <w:spacing w:after="0"/>
              <w:rPr>
                <w:sz w:val="21"/>
                <w:szCs w:val="21"/>
                <w:color w:val="auto"/>
              </w:rPr>
            </w:pP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565</w:t>
            </w:r>
          </w:p>
        </w:tc>
        <w:tc>
          <w:tcPr>
            <w:tcW w:w="8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10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920</w:t>
            </w:r>
          </w:p>
        </w:tc>
        <w:tc>
          <w:tcPr>
            <w:tcW w:w="80" w:type="dxa"/>
            <w:vAlign w:val="bottom"/>
            <w:shd w:val="clear" w:color="auto" w:fill="EAEBEC"/>
          </w:tcPr>
          <w:p>
            <w:pPr>
              <w:spacing w:after="0"/>
              <w:rPr>
                <w:sz w:val="21"/>
                <w:szCs w:val="21"/>
                <w:color w:val="auto"/>
              </w:rPr>
            </w:pPr>
          </w:p>
        </w:tc>
      </w:tr>
      <w:tr>
        <w:trPr>
          <w:trHeight w:val="244"/>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Other non-operating income</w:t>
            </w: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(4,800)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(4,727)</w:t>
            </w:r>
          </w:p>
        </w:tc>
      </w:tr>
      <w:tr>
        <w:trPr>
          <w:trHeight w:val="220"/>
        </w:trPr>
        <w:tc>
          <w:tcPr>
            <w:tcW w:w="5420" w:type="dxa"/>
            <w:vAlign w:val="bottom"/>
            <w:tcBorders>
              <w:top w:val="single" w:sz="8" w:color="EAEBEC"/>
            </w:tcBorders>
            <w:shd w:val="clear" w:color="auto" w:fill="EAEBEC"/>
          </w:tcPr>
          <w:p>
            <w:pPr>
              <w:ind w:left="400"/>
              <w:spacing w:after="0" w:line="220" w:lineRule="exact"/>
              <w:rPr>
                <w:sz w:val="20"/>
                <w:szCs w:val="20"/>
                <w:color w:val="auto"/>
              </w:rPr>
            </w:pPr>
            <w:r>
              <w:rPr>
                <w:rFonts w:ascii="Times New Roman" w:cs="Times New Roman" w:eastAsia="Times New Roman" w:hAnsi="Times New Roman"/>
                <w:sz w:val="20"/>
                <w:szCs w:val="20"/>
                <w:color w:val="231F20"/>
              </w:rPr>
              <w:t>Loss before income taxes and income from</w:t>
            </w:r>
          </w:p>
        </w:tc>
        <w:tc>
          <w:tcPr>
            <w:tcW w:w="120" w:type="dxa"/>
            <w:vAlign w:val="bottom"/>
            <w:tcBorders>
              <w:top w:val="single" w:sz="8" w:color="231F20"/>
            </w:tcBorders>
            <w:shd w:val="clear" w:color="auto" w:fill="EAEBEC"/>
          </w:tcPr>
          <w:p>
            <w:pPr>
              <w:spacing w:after="0"/>
              <w:rPr>
                <w:sz w:val="19"/>
                <w:szCs w:val="19"/>
                <w:color w:val="auto"/>
              </w:rPr>
            </w:pPr>
          </w:p>
        </w:tc>
        <w:tc>
          <w:tcPr>
            <w:tcW w:w="1020" w:type="dxa"/>
            <w:vAlign w:val="bottom"/>
            <w:tcBorders>
              <w:top w:val="single" w:sz="8" w:color="231F20"/>
            </w:tcBorders>
            <w:shd w:val="clear" w:color="auto" w:fill="EAEBEC"/>
          </w:tcPr>
          <w:p>
            <w:pPr>
              <w:spacing w:after="0"/>
              <w:rPr>
                <w:sz w:val="19"/>
                <w:szCs w:val="19"/>
                <w:color w:val="auto"/>
              </w:rPr>
            </w:pPr>
          </w:p>
        </w:tc>
        <w:tc>
          <w:tcPr>
            <w:tcW w:w="80" w:type="dxa"/>
            <w:vAlign w:val="bottom"/>
            <w:tcBorders>
              <w:top w:val="single" w:sz="8" w:color="EAEBEC"/>
            </w:tcBorders>
            <w:shd w:val="clear" w:color="auto" w:fill="EAEBEC"/>
          </w:tcPr>
          <w:p>
            <w:pPr>
              <w:spacing w:after="0"/>
              <w:rPr>
                <w:sz w:val="19"/>
                <w:szCs w:val="19"/>
                <w:color w:val="auto"/>
              </w:rPr>
            </w:pPr>
          </w:p>
        </w:tc>
        <w:tc>
          <w:tcPr>
            <w:tcW w:w="140" w:type="dxa"/>
            <w:vAlign w:val="bottom"/>
            <w:tcBorders>
              <w:top w:val="single" w:sz="8" w:color="EAEBEC"/>
            </w:tcBorders>
            <w:shd w:val="clear" w:color="auto" w:fill="EAEBEC"/>
          </w:tcPr>
          <w:p>
            <w:pPr>
              <w:spacing w:after="0"/>
              <w:rPr>
                <w:sz w:val="19"/>
                <w:szCs w:val="19"/>
                <w:color w:val="auto"/>
              </w:rPr>
            </w:pPr>
          </w:p>
        </w:tc>
        <w:tc>
          <w:tcPr>
            <w:tcW w:w="120" w:type="dxa"/>
            <w:vAlign w:val="bottom"/>
            <w:tcBorders>
              <w:top w:val="single" w:sz="8" w:color="231F20"/>
            </w:tcBorders>
            <w:shd w:val="clear" w:color="auto" w:fill="EAEBEC"/>
          </w:tcPr>
          <w:p>
            <w:pPr>
              <w:spacing w:after="0"/>
              <w:rPr>
                <w:sz w:val="19"/>
                <w:szCs w:val="19"/>
                <w:color w:val="auto"/>
              </w:rPr>
            </w:pPr>
          </w:p>
        </w:tc>
        <w:tc>
          <w:tcPr>
            <w:tcW w:w="1020" w:type="dxa"/>
            <w:vAlign w:val="bottom"/>
            <w:tcBorders>
              <w:top w:val="single" w:sz="8" w:color="231F20"/>
            </w:tcBorders>
            <w:shd w:val="clear" w:color="auto" w:fill="EAEBEC"/>
          </w:tcPr>
          <w:p>
            <w:pPr>
              <w:spacing w:after="0"/>
              <w:rPr>
                <w:sz w:val="19"/>
                <w:szCs w:val="19"/>
                <w:color w:val="auto"/>
              </w:rPr>
            </w:pPr>
          </w:p>
        </w:tc>
        <w:tc>
          <w:tcPr>
            <w:tcW w:w="80" w:type="dxa"/>
            <w:vAlign w:val="bottom"/>
            <w:tcBorders>
              <w:top w:val="single" w:sz="8" w:color="EAEBEC"/>
            </w:tcBorders>
            <w:shd w:val="clear" w:color="auto" w:fill="EAEBEC"/>
          </w:tcPr>
          <w:p>
            <w:pPr>
              <w:spacing w:after="0"/>
              <w:rPr>
                <w:sz w:val="19"/>
                <w:szCs w:val="19"/>
                <w:color w:val="auto"/>
              </w:rPr>
            </w:pPr>
          </w:p>
        </w:tc>
        <w:tc>
          <w:tcPr>
            <w:tcW w:w="140" w:type="dxa"/>
            <w:vAlign w:val="bottom"/>
            <w:tcBorders>
              <w:top w:val="single" w:sz="8" w:color="EAEBEC"/>
            </w:tcBorders>
            <w:shd w:val="clear" w:color="auto" w:fill="EAEBEC"/>
          </w:tcPr>
          <w:p>
            <w:pPr>
              <w:spacing w:after="0"/>
              <w:rPr>
                <w:sz w:val="19"/>
                <w:szCs w:val="19"/>
                <w:color w:val="auto"/>
              </w:rPr>
            </w:pPr>
          </w:p>
        </w:tc>
        <w:tc>
          <w:tcPr>
            <w:tcW w:w="120" w:type="dxa"/>
            <w:vAlign w:val="bottom"/>
            <w:tcBorders>
              <w:top w:val="single" w:sz="8" w:color="231F20"/>
            </w:tcBorders>
            <w:shd w:val="clear" w:color="auto" w:fill="EAEBEC"/>
          </w:tcPr>
          <w:p>
            <w:pPr>
              <w:spacing w:after="0"/>
              <w:rPr>
                <w:sz w:val="19"/>
                <w:szCs w:val="19"/>
                <w:color w:val="auto"/>
              </w:rPr>
            </w:pPr>
          </w:p>
        </w:tc>
        <w:tc>
          <w:tcPr>
            <w:tcW w:w="1020" w:type="dxa"/>
            <w:vAlign w:val="bottom"/>
            <w:tcBorders>
              <w:top w:val="single" w:sz="8" w:color="231F20"/>
            </w:tcBorders>
            <w:shd w:val="clear" w:color="auto" w:fill="EAEBEC"/>
          </w:tcPr>
          <w:p>
            <w:pPr>
              <w:spacing w:after="0"/>
              <w:rPr>
                <w:sz w:val="19"/>
                <w:szCs w:val="19"/>
                <w:color w:val="auto"/>
              </w:rPr>
            </w:pPr>
          </w:p>
        </w:tc>
        <w:tc>
          <w:tcPr>
            <w:tcW w:w="80" w:type="dxa"/>
            <w:vAlign w:val="bottom"/>
            <w:tcBorders>
              <w:top w:val="single" w:sz="8" w:color="EAEBEC"/>
            </w:tcBorders>
            <w:shd w:val="clear" w:color="auto" w:fill="EAEBEC"/>
          </w:tcPr>
          <w:p>
            <w:pPr>
              <w:spacing w:after="0"/>
              <w:rPr>
                <w:sz w:val="19"/>
                <w:szCs w:val="19"/>
                <w:color w:val="auto"/>
              </w:rPr>
            </w:pPr>
          </w:p>
        </w:tc>
      </w:tr>
      <w:tr>
        <w:trPr>
          <w:trHeight w:val="249"/>
        </w:trPr>
        <w:tc>
          <w:tcPr>
            <w:tcW w:w="5420" w:type="dxa"/>
            <w:vAlign w:val="bottom"/>
            <w:shd w:val="clear" w:color="auto" w:fill="EAEBEC"/>
          </w:tcPr>
          <w:p>
            <w:pPr>
              <w:ind w:left="560"/>
              <w:spacing w:after="0"/>
              <w:rPr>
                <w:sz w:val="20"/>
                <w:szCs w:val="20"/>
                <w:color w:val="auto"/>
              </w:rPr>
            </w:pPr>
            <w:r>
              <w:rPr>
                <w:rFonts w:ascii="Times New Roman" w:cs="Times New Roman" w:eastAsia="Times New Roman" w:hAnsi="Times New Roman"/>
                <w:sz w:val="20"/>
                <w:szCs w:val="20"/>
                <w:color w:val="231F20"/>
              </w:rPr>
              <w:t>equity method investees</w:t>
            </w:r>
          </w:p>
        </w:tc>
        <w:tc>
          <w:tcPr>
            <w:tcW w:w="120" w:type="dxa"/>
            <w:vAlign w:val="bottom"/>
            <w:shd w:val="clear" w:color="auto" w:fill="EAEBEC"/>
          </w:tcPr>
          <w:p>
            <w:pPr>
              <w:spacing w:after="0"/>
              <w:rPr>
                <w:sz w:val="21"/>
                <w:szCs w:val="21"/>
                <w:color w:val="auto"/>
              </w:rPr>
            </w:pP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(5,026)</w:t>
            </w:r>
          </w:p>
        </w:tc>
        <w:tc>
          <w:tcPr>
            <w:tcW w:w="8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(127,966)</w:t>
            </w:r>
          </w:p>
        </w:tc>
        <w:tc>
          <w:tcPr>
            <w:tcW w:w="8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(1,324,011)</w:t>
            </w:r>
          </w:p>
        </w:tc>
        <w:tc>
          <w:tcPr>
            <w:tcW w:w="80" w:type="dxa"/>
            <w:vAlign w:val="bottom"/>
            <w:shd w:val="clear" w:color="auto" w:fill="EAEBEC"/>
          </w:tcPr>
          <w:p>
            <w:pPr>
              <w:spacing w:after="0"/>
              <w:rPr>
                <w:sz w:val="21"/>
                <w:szCs w:val="21"/>
                <w:color w:val="auto"/>
              </w:rPr>
            </w:pPr>
          </w:p>
        </w:tc>
      </w:tr>
      <w:tr>
        <w:trPr>
          <w:trHeight w:val="244"/>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231F20"/>
              </w:rPr>
              <w:t>Income tax expense (benefit)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6,266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(7,481)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(27,613)</w:t>
            </w:r>
          </w:p>
        </w:tc>
        <w:tc>
          <w:tcPr>
            <w:tcW w:w="80" w:type="dxa"/>
            <w:vAlign w:val="bottom"/>
          </w:tcPr>
          <w:p>
            <w:pPr>
              <w:spacing w:after="0"/>
              <w:rPr>
                <w:sz w:val="21"/>
                <w:szCs w:val="21"/>
                <w:color w:val="auto"/>
              </w:rPr>
            </w:pPr>
          </w:p>
        </w:tc>
      </w:tr>
      <w:tr>
        <w:trPr>
          <w:trHeight w:val="244"/>
        </w:trPr>
        <w:tc>
          <w:tcPr>
            <w:tcW w:w="54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Income from equity method investees</w:t>
            </w:r>
          </w:p>
        </w:tc>
        <w:tc>
          <w:tcPr>
            <w:tcW w:w="120" w:type="dxa"/>
            <w:vAlign w:val="bottom"/>
            <w:shd w:val="clear" w:color="auto" w:fill="EAEBEC"/>
          </w:tcPr>
          <w:p>
            <w:pPr>
              <w:spacing w:after="0"/>
              <w:rPr>
                <w:sz w:val="21"/>
                <w:szCs w:val="21"/>
                <w:color w:val="auto"/>
              </w:rPr>
            </w:pPr>
          </w:p>
        </w:tc>
        <w:tc>
          <w:tcPr>
            <w:tcW w:w="110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(20,358)</w:t>
            </w: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10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(18,669)</w:t>
            </w: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10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(16,188)</w:t>
            </w:r>
          </w:p>
        </w:tc>
      </w:tr>
      <w:tr>
        <w:trPr>
          <w:trHeight w:val="220"/>
        </w:trPr>
        <w:tc>
          <w:tcPr>
            <w:tcW w:w="54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231F20"/>
              </w:rPr>
              <w:t>Net income (loss) attributable to Class A and B-1 common</w:t>
            </w:r>
          </w:p>
        </w:tc>
        <w:tc>
          <w:tcPr>
            <w:tcW w:w="120" w:type="dxa"/>
            <w:vAlign w:val="bottom"/>
            <w:tcBorders>
              <w:top w:val="single" w:sz="8" w:color="231F20"/>
            </w:tcBorders>
          </w:tcPr>
          <w:p>
            <w:pPr>
              <w:spacing w:after="0"/>
              <w:rPr>
                <w:sz w:val="19"/>
                <w:szCs w:val="19"/>
                <w:color w:val="auto"/>
              </w:rPr>
            </w:pPr>
          </w:p>
        </w:tc>
        <w:tc>
          <w:tcPr>
            <w:tcW w:w="1020" w:type="dxa"/>
            <w:vAlign w:val="bottom"/>
            <w:tcBorders>
              <w:top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1020" w:type="dxa"/>
            <w:vAlign w:val="bottom"/>
            <w:tcBorders>
              <w:top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1020" w:type="dxa"/>
            <w:vAlign w:val="bottom"/>
            <w:tcBorders>
              <w:top w:val="single" w:sz="8" w:color="231F20"/>
            </w:tcBorders>
          </w:tcPr>
          <w:p>
            <w:pPr>
              <w:spacing w:after="0"/>
              <w:rPr>
                <w:sz w:val="19"/>
                <w:szCs w:val="19"/>
                <w:color w:val="auto"/>
              </w:rPr>
            </w:pPr>
          </w:p>
        </w:tc>
        <w:tc>
          <w:tcPr>
            <w:tcW w:w="80" w:type="dxa"/>
            <w:vAlign w:val="bottom"/>
          </w:tcPr>
          <w:p>
            <w:pPr>
              <w:spacing w:after="0"/>
              <w:rPr>
                <w:sz w:val="19"/>
                <w:szCs w:val="19"/>
                <w:color w:val="auto"/>
              </w:rPr>
            </w:pPr>
          </w:p>
        </w:tc>
      </w:tr>
      <w:tr>
        <w:trPr>
          <w:trHeight w:val="266"/>
        </w:trPr>
        <w:tc>
          <w:tcPr>
            <w:tcW w:w="5420" w:type="dxa"/>
            <w:vAlign w:val="bottom"/>
          </w:tcPr>
          <w:p>
            <w:pPr>
              <w:ind w:left="560"/>
              <w:spacing w:after="0"/>
              <w:rPr>
                <w:sz w:val="20"/>
                <w:szCs w:val="20"/>
                <w:color w:val="auto"/>
              </w:rPr>
            </w:pPr>
            <w:r>
              <w:rPr>
                <w:rFonts w:ascii="Times New Roman" w:cs="Times New Roman" w:eastAsia="Times New Roman" w:hAnsi="Times New Roman"/>
                <w:sz w:val="20"/>
                <w:szCs w:val="20"/>
                <w:color w:val="231F20"/>
              </w:rPr>
              <w:t>stockholders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9,066</w:t>
            </w:r>
          </w:p>
        </w:tc>
        <w:tc>
          <w:tcPr>
            <w:tcW w:w="80" w:type="dxa"/>
            <w:vAlign w:val="bottom"/>
          </w:tcPr>
          <w:p>
            <w:pPr>
              <w:spacing w:after="0"/>
              <w:rPr>
                <w:sz w:val="23"/>
                <w:szCs w:val="23"/>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(101,816)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(1,280,210)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-3859530</wp:posOffset>
            </wp:positionV>
            <wp:extent cx="248793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2487930" cy="38100"/>
                    </a:xfrm>
                    <a:prstGeom prst="rect">
                      <a:avLst/>
                    </a:prstGeom>
                    <a:noFill/>
                  </pic:spPr>
                </pic:pic>
              </a:graphicData>
            </a:graphic>
          </wp:anchor>
        </w:drawing>
      </w:r>
    </w:p>
    <w:p>
      <w:pPr>
        <w:sectPr>
          <w:pgSz w:w="11880" w:h="15480" w:orient="portrait"/>
          <w:cols w:equalWidth="0" w:num="1">
            <w:col w:w="9360"/>
          </w:cols>
          <w:pgMar w:left="1260" w:top="87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9360"/>
          </w:cols>
          <w:pgMar w:left="1260" w:top="876" w:right="1260" w:bottom="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213"/>
        </w:trPr>
        <w:tc>
          <w:tcPr>
            <w:tcW w:w="5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rPr>
              <w:t>Fiscal years ended</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84"/>
        </w:trPr>
        <w:tc>
          <w:tcPr>
            <w:tcW w:w="5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w w:val="98"/>
              </w:rPr>
              <w:t>January 31,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c>
          <w:tcPr>
            <w:tcW w:w="20" w:type="dxa"/>
            <w:vAlign w:val="bottom"/>
          </w:tcPr>
          <w:p>
            <w:pPr>
              <w:spacing w:after="0"/>
              <w:rPr>
                <w:sz w:val="16"/>
                <w:szCs w:val="16"/>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231F20"/>
              </w:rPr>
              <w:t>February 3,</w:t>
            </w:r>
          </w:p>
        </w:tc>
      </w:tr>
      <w:tr>
        <w:trPr>
          <w:trHeight w:val="203"/>
        </w:trPr>
        <w:tc>
          <w:tcPr>
            <w:tcW w:w="532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3"/>
        </w:trPr>
        <w:tc>
          <w:tcPr>
            <w:tcW w:w="5320" w:type="dxa"/>
            <w:vAlign w:val="bottom"/>
          </w:tcPr>
          <w:p>
            <w:pPr>
              <w:spacing w:after="0"/>
              <w:rPr>
                <w:sz w:val="16"/>
                <w:szCs w:val="16"/>
                <w:color w:val="auto"/>
              </w:rPr>
            </w:pPr>
          </w:p>
        </w:tc>
        <w:tc>
          <w:tcPr>
            <w:tcW w:w="60" w:type="dxa"/>
            <w:vAlign w:val="bottom"/>
            <w:tcBorders>
              <w:top w:val="single" w:sz="8" w:color="231F20"/>
            </w:tcBorders>
          </w:tcPr>
          <w:p>
            <w:pPr>
              <w:spacing w:after="0"/>
              <w:rPr>
                <w:sz w:val="16"/>
                <w:szCs w:val="16"/>
                <w:color w:val="auto"/>
              </w:rPr>
            </w:pPr>
          </w:p>
        </w:tc>
        <w:tc>
          <w:tcPr>
            <w:tcW w:w="980" w:type="dxa"/>
            <w:vAlign w:val="bottom"/>
            <w:tcBorders>
              <w:top w:val="single" w:sz="8" w:color="231F20"/>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231F20"/>
            </w:tcBorders>
          </w:tcPr>
          <w:p>
            <w:pPr>
              <w:spacing w:after="0"/>
              <w:rPr>
                <w:sz w:val="16"/>
                <w:szCs w:val="16"/>
                <w:color w:val="auto"/>
              </w:rPr>
            </w:pPr>
          </w:p>
        </w:tc>
        <w:tc>
          <w:tcPr>
            <w:tcW w:w="92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Borders>
              <w:top w:val="single" w:sz="8" w:color="231F20"/>
            </w:tcBorders>
          </w:tcPr>
          <w:p>
            <w:pPr>
              <w:spacing w:after="0"/>
              <w:rPr>
                <w:sz w:val="16"/>
                <w:szCs w:val="16"/>
                <w:color w:val="auto"/>
              </w:rPr>
            </w:pPr>
          </w:p>
        </w:tc>
        <w:tc>
          <w:tcPr>
            <w:tcW w:w="94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(53 weeks)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44"/>
        </w:trPr>
        <w:tc>
          <w:tcPr>
            <w:tcW w:w="53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Net sales:</w:t>
            </w:r>
          </w:p>
        </w:tc>
        <w:tc>
          <w:tcPr>
            <w:tcW w:w="60" w:type="dxa"/>
            <w:vAlign w:val="bottom"/>
            <w:shd w:val="clear" w:color="auto" w:fill="EAEBEC"/>
          </w:tcPr>
          <w:p>
            <w:pPr>
              <w:spacing w:after="0"/>
              <w:rPr>
                <w:sz w:val="21"/>
                <w:szCs w:val="21"/>
                <w:color w:val="auto"/>
              </w:rPr>
            </w:pPr>
          </w:p>
        </w:tc>
        <w:tc>
          <w:tcPr>
            <w:tcW w:w="96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24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60" w:type="dxa"/>
            <w:vAlign w:val="bottom"/>
            <w:shd w:val="clear" w:color="auto" w:fill="EAEBEC"/>
          </w:tcPr>
          <w:p>
            <w:pPr>
              <w:spacing w:after="0"/>
              <w:rPr>
                <w:sz w:val="21"/>
                <w:szCs w:val="21"/>
                <w:color w:val="auto"/>
              </w:rPr>
            </w:pPr>
          </w:p>
        </w:tc>
        <w:tc>
          <w:tcPr>
            <w:tcW w:w="92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3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94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200" w:type="dxa"/>
            <w:vAlign w:val="bottom"/>
            <w:shd w:val="clear" w:color="auto" w:fill="EAEBEC"/>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231F20"/>
              </w:rPr>
              <w:t>Products</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82.8%</w:t>
            </w:r>
          </w:p>
        </w:tc>
        <w:tc>
          <w:tcPr>
            <w:tcW w:w="1500" w:type="dxa"/>
            <w:vAlign w:val="bottom"/>
            <w:gridSpan w:val="5"/>
          </w:tcPr>
          <w:p>
            <w:pPr>
              <w:jc w:val="right"/>
              <w:ind w:right="260"/>
              <w:spacing w:after="0"/>
              <w:rPr>
                <w:sz w:val="20"/>
                <w:szCs w:val="20"/>
                <w:color w:val="auto"/>
              </w:rPr>
            </w:pPr>
            <w:r>
              <w:rPr>
                <w:rFonts w:ascii="Times New Roman" w:cs="Times New Roman" w:eastAsia="Times New Roman" w:hAnsi="Times New Roman"/>
                <w:sz w:val="20"/>
                <w:szCs w:val="20"/>
                <w:color w:val="231F20"/>
              </w:rPr>
              <w:t>83.7%</w:t>
            </w:r>
          </w:p>
        </w:tc>
        <w:tc>
          <w:tcPr>
            <w:tcW w:w="126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231F20"/>
              </w:rPr>
              <w:t>84.3%</w:t>
            </w:r>
          </w:p>
        </w:tc>
      </w:tr>
      <w:tr>
        <w:trPr>
          <w:trHeight w:val="244"/>
        </w:trPr>
        <w:tc>
          <w:tcPr>
            <w:tcW w:w="53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Services and other</w:t>
            </w:r>
          </w:p>
        </w:tc>
        <w:tc>
          <w:tcPr>
            <w:tcW w:w="1040" w:type="dxa"/>
            <w:vAlign w:val="bottom"/>
            <w:gridSpan w:val="3"/>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17.2</w:t>
            </w:r>
          </w:p>
        </w:tc>
        <w:tc>
          <w:tcPr>
            <w:tcW w:w="240" w:type="dxa"/>
            <w:vAlign w:val="bottom"/>
            <w:shd w:val="clear" w:color="auto" w:fill="EAEBEC"/>
          </w:tcPr>
          <w:p>
            <w:pPr>
              <w:spacing w:after="0"/>
              <w:rPr>
                <w:sz w:val="21"/>
                <w:szCs w:val="21"/>
                <w:color w:val="auto"/>
              </w:rPr>
            </w:pPr>
          </w:p>
        </w:tc>
        <w:tc>
          <w:tcPr>
            <w:tcW w:w="1080" w:type="dxa"/>
            <w:vAlign w:val="bottom"/>
            <w:gridSpan w:val="3"/>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16.3</w:t>
            </w:r>
          </w:p>
        </w:tc>
        <w:tc>
          <w:tcPr>
            <w:tcW w:w="100" w:type="dxa"/>
            <w:vAlign w:val="bottom"/>
            <w:shd w:val="clear" w:color="auto" w:fill="EAEBEC"/>
          </w:tcPr>
          <w:p>
            <w:pPr>
              <w:spacing w:after="0"/>
              <w:rPr>
                <w:sz w:val="21"/>
                <w:szCs w:val="21"/>
                <w:color w:val="auto"/>
              </w:rPr>
            </w:pPr>
          </w:p>
        </w:tc>
        <w:tc>
          <w:tcPr>
            <w:tcW w:w="320" w:type="dxa"/>
            <w:vAlign w:val="bottom"/>
            <w:shd w:val="clear" w:color="auto" w:fill="EAEBEC"/>
          </w:tcPr>
          <w:p>
            <w:pPr>
              <w:spacing w:after="0"/>
              <w:rPr>
                <w:sz w:val="21"/>
                <w:szCs w:val="21"/>
                <w:color w:val="auto"/>
              </w:rPr>
            </w:pPr>
          </w:p>
        </w:tc>
        <w:tc>
          <w:tcPr>
            <w:tcW w:w="9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15.7</w:t>
            </w:r>
          </w:p>
        </w:tc>
        <w:tc>
          <w:tcPr>
            <w:tcW w:w="100" w:type="dxa"/>
            <w:vAlign w:val="bottom"/>
            <w:shd w:val="clear" w:color="auto" w:fill="EAEBEC"/>
          </w:tcPr>
          <w:p>
            <w:pPr>
              <w:spacing w:after="0"/>
              <w:rPr>
                <w:sz w:val="21"/>
                <w:szCs w:val="21"/>
                <w:color w:val="auto"/>
              </w:rPr>
            </w:pPr>
          </w:p>
        </w:tc>
        <w:tc>
          <w:tcPr>
            <w:tcW w:w="200" w:type="dxa"/>
            <w:vAlign w:val="bottom"/>
            <w:shd w:val="clear" w:color="auto" w:fill="EAEBEC"/>
          </w:tcPr>
          <w:p>
            <w:pPr>
              <w:spacing w:after="0"/>
              <w:rPr>
                <w:sz w:val="21"/>
                <w:szCs w:val="21"/>
                <w:color w:val="auto"/>
              </w:rPr>
            </w:pP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 net sales</w:t>
            </w:r>
          </w:p>
        </w:tc>
        <w:tc>
          <w:tcPr>
            <w:tcW w:w="1040" w:type="dxa"/>
            <w:vAlign w:val="bottom"/>
            <w:tcBorders>
              <w:top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100.0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Borders>
              <w:top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100.0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44"/>
        </w:trPr>
        <w:tc>
          <w:tcPr>
            <w:tcW w:w="53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Cost of sales:</w:t>
            </w:r>
          </w:p>
        </w:tc>
        <w:tc>
          <w:tcPr>
            <w:tcW w:w="60" w:type="dxa"/>
            <w:vAlign w:val="bottom"/>
            <w:shd w:val="clear" w:color="auto" w:fill="EAEBEC"/>
          </w:tcPr>
          <w:p>
            <w:pPr>
              <w:spacing w:after="0"/>
              <w:rPr>
                <w:sz w:val="21"/>
                <w:szCs w:val="21"/>
                <w:color w:val="auto"/>
              </w:rPr>
            </w:pPr>
          </w:p>
        </w:tc>
        <w:tc>
          <w:tcPr>
            <w:tcW w:w="96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24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60" w:type="dxa"/>
            <w:vAlign w:val="bottom"/>
            <w:shd w:val="clear" w:color="auto" w:fill="EAEBEC"/>
          </w:tcPr>
          <w:p>
            <w:pPr>
              <w:spacing w:after="0"/>
              <w:rPr>
                <w:sz w:val="21"/>
                <w:szCs w:val="21"/>
                <w:color w:val="auto"/>
              </w:rPr>
            </w:pPr>
          </w:p>
        </w:tc>
        <w:tc>
          <w:tcPr>
            <w:tcW w:w="92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3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94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200" w:type="dxa"/>
            <w:vAlign w:val="bottom"/>
            <w:shd w:val="clear" w:color="auto" w:fill="EAEBEC"/>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231F20"/>
              </w:rPr>
              <w:t>Products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50.8</w:t>
            </w:r>
          </w:p>
        </w:tc>
        <w:tc>
          <w:tcPr>
            <w:tcW w:w="24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4"/>
        </w:trPr>
        <w:tc>
          <w:tcPr>
            <w:tcW w:w="53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Services and other</w:t>
            </w:r>
          </w:p>
        </w:tc>
        <w:tc>
          <w:tcPr>
            <w:tcW w:w="1040" w:type="dxa"/>
            <w:vAlign w:val="bottom"/>
            <w:gridSpan w:val="3"/>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10.5</w:t>
            </w:r>
          </w:p>
        </w:tc>
        <w:tc>
          <w:tcPr>
            <w:tcW w:w="240" w:type="dxa"/>
            <w:vAlign w:val="bottom"/>
            <w:shd w:val="clear" w:color="auto" w:fill="EAEBEC"/>
          </w:tcPr>
          <w:p>
            <w:pPr>
              <w:spacing w:after="0"/>
              <w:rPr>
                <w:sz w:val="21"/>
                <w:szCs w:val="21"/>
                <w:color w:val="auto"/>
              </w:rPr>
            </w:pPr>
          </w:p>
        </w:tc>
        <w:tc>
          <w:tcPr>
            <w:tcW w:w="1080" w:type="dxa"/>
            <w:vAlign w:val="bottom"/>
            <w:gridSpan w:val="3"/>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10.1</w:t>
            </w:r>
          </w:p>
        </w:tc>
        <w:tc>
          <w:tcPr>
            <w:tcW w:w="100" w:type="dxa"/>
            <w:vAlign w:val="bottom"/>
            <w:shd w:val="clear" w:color="auto" w:fill="EAEBEC"/>
          </w:tcPr>
          <w:p>
            <w:pPr>
              <w:spacing w:after="0"/>
              <w:rPr>
                <w:sz w:val="21"/>
                <w:szCs w:val="21"/>
                <w:color w:val="auto"/>
              </w:rPr>
            </w:pPr>
          </w:p>
        </w:tc>
        <w:tc>
          <w:tcPr>
            <w:tcW w:w="320" w:type="dxa"/>
            <w:vAlign w:val="bottom"/>
            <w:shd w:val="clear" w:color="auto" w:fill="EAEBEC"/>
          </w:tcPr>
          <w:p>
            <w:pPr>
              <w:spacing w:after="0"/>
              <w:rPr>
                <w:sz w:val="21"/>
                <w:szCs w:val="21"/>
                <w:color w:val="auto"/>
              </w:rPr>
            </w:pPr>
          </w:p>
        </w:tc>
        <w:tc>
          <w:tcPr>
            <w:tcW w:w="9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10.1</w:t>
            </w:r>
          </w:p>
        </w:tc>
        <w:tc>
          <w:tcPr>
            <w:tcW w:w="100" w:type="dxa"/>
            <w:vAlign w:val="bottom"/>
            <w:shd w:val="clear" w:color="auto" w:fill="EAEBEC"/>
          </w:tcPr>
          <w:p>
            <w:pPr>
              <w:spacing w:after="0"/>
              <w:rPr>
                <w:sz w:val="21"/>
                <w:szCs w:val="21"/>
                <w:color w:val="auto"/>
              </w:rPr>
            </w:pPr>
          </w:p>
        </w:tc>
        <w:tc>
          <w:tcPr>
            <w:tcW w:w="200" w:type="dxa"/>
            <w:vAlign w:val="bottom"/>
            <w:shd w:val="clear" w:color="auto" w:fill="EAEBEC"/>
          </w:tcPr>
          <w:p>
            <w:pPr>
              <w:spacing w:after="0"/>
              <w:rPr>
                <w:sz w:val="21"/>
                <w:szCs w:val="21"/>
                <w:color w:val="auto"/>
              </w:rPr>
            </w:pPr>
          </w:p>
        </w:tc>
      </w:tr>
      <w:tr>
        <w:trPr>
          <w:trHeight w:val="239"/>
        </w:trPr>
        <w:tc>
          <w:tcPr>
            <w:tcW w:w="5320" w:type="dxa"/>
            <w:vAlign w:val="bottom"/>
            <w:tcBorders>
              <w:bottom w:val="single" w:sz="8" w:color="EAEBEC"/>
            </w:tcBorders>
          </w:tcPr>
          <w:p>
            <w:pPr>
              <w:ind w:left="200"/>
              <w:spacing w:after="0"/>
              <w:rPr>
                <w:sz w:val="20"/>
                <w:szCs w:val="20"/>
                <w:color w:val="auto"/>
              </w:rPr>
            </w:pPr>
            <w:r>
              <w:rPr>
                <w:rFonts w:ascii="Times New Roman" w:cs="Times New Roman" w:eastAsia="Times New Roman" w:hAnsi="Times New Roman"/>
                <w:sz w:val="20"/>
                <w:szCs w:val="20"/>
                <w:color w:val="231F20"/>
              </w:rPr>
              <w:t>Total cost of sales</w:t>
            </w:r>
          </w:p>
        </w:tc>
        <w:tc>
          <w:tcPr>
            <w:tcW w:w="1040" w:type="dxa"/>
            <w:vAlign w:val="bottom"/>
            <w:tcBorders>
              <w:top w:val="single" w:sz="8" w:color="231F20"/>
              <w:bottom w:val="single" w:sz="8" w:color="231F20"/>
            </w:tcBorders>
            <w:gridSpan w:val="3"/>
          </w:tcPr>
          <w:p>
            <w:pPr>
              <w:jc w:val="right"/>
              <w:spacing w:after="0"/>
              <w:rPr>
                <w:sz w:val="20"/>
                <w:szCs w:val="20"/>
                <w:color w:val="auto"/>
              </w:rPr>
            </w:pPr>
            <w:r>
              <w:rPr>
                <w:rFonts w:ascii="Times New Roman" w:cs="Times New Roman" w:eastAsia="Times New Roman" w:hAnsi="Times New Roman"/>
                <w:sz w:val="20"/>
                <w:szCs w:val="20"/>
                <w:color w:val="231F20"/>
              </w:rPr>
              <w:t>61.3</w:t>
            </w:r>
          </w:p>
        </w:tc>
        <w:tc>
          <w:tcPr>
            <w:tcW w:w="240" w:type="dxa"/>
            <w:vAlign w:val="bottom"/>
            <w:tcBorders>
              <w:bottom w:val="single" w:sz="8" w:color="EAEBEC"/>
            </w:tcBorders>
          </w:tcPr>
          <w:p>
            <w:pPr>
              <w:spacing w:after="0"/>
              <w:rPr>
                <w:sz w:val="20"/>
                <w:szCs w:val="20"/>
                <w:color w:val="auto"/>
              </w:rPr>
            </w:pPr>
          </w:p>
        </w:tc>
        <w:tc>
          <w:tcPr>
            <w:tcW w:w="100" w:type="dxa"/>
            <w:vAlign w:val="bottom"/>
            <w:tcBorders>
              <w:bottom w:val="single" w:sz="8" w:color="EAEBEC"/>
            </w:tcBorders>
          </w:tcPr>
          <w:p>
            <w:pPr>
              <w:spacing w:after="0"/>
              <w:rPr>
                <w:sz w:val="20"/>
                <w:szCs w:val="20"/>
                <w:color w:val="auto"/>
              </w:rPr>
            </w:pPr>
          </w:p>
        </w:tc>
        <w:tc>
          <w:tcPr>
            <w:tcW w:w="98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62.0</w:t>
            </w:r>
          </w:p>
        </w:tc>
        <w:tc>
          <w:tcPr>
            <w:tcW w:w="100" w:type="dxa"/>
            <w:vAlign w:val="bottom"/>
            <w:tcBorders>
              <w:bottom w:val="single" w:sz="8" w:color="EAEBEC"/>
            </w:tcBorders>
          </w:tcPr>
          <w:p>
            <w:pPr>
              <w:spacing w:after="0"/>
              <w:rPr>
                <w:sz w:val="20"/>
                <w:szCs w:val="20"/>
                <w:color w:val="auto"/>
              </w:rPr>
            </w:pPr>
          </w:p>
        </w:tc>
        <w:tc>
          <w:tcPr>
            <w:tcW w:w="320" w:type="dxa"/>
            <w:vAlign w:val="bottom"/>
            <w:tcBorders>
              <w:bottom w:val="single" w:sz="8" w:color="EAEBEC"/>
            </w:tcBorders>
          </w:tcPr>
          <w:p>
            <w:pPr>
              <w:spacing w:after="0"/>
              <w:rPr>
                <w:sz w:val="20"/>
                <w:szCs w:val="20"/>
                <w:color w:val="auto"/>
              </w:rPr>
            </w:pPr>
          </w:p>
        </w:tc>
        <w:tc>
          <w:tcPr>
            <w:tcW w:w="96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color w:val="231F20"/>
              </w:rPr>
              <w:t>62.4</w:t>
            </w:r>
          </w:p>
        </w:tc>
        <w:tc>
          <w:tcPr>
            <w:tcW w:w="100" w:type="dxa"/>
            <w:vAlign w:val="bottom"/>
            <w:tcBorders>
              <w:bottom w:val="single" w:sz="8" w:color="EAEBEC"/>
            </w:tcBorders>
          </w:tcPr>
          <w:p>
            <w:pPr>
              <w:spacing w:after="0"/>
              <w:rPr>
                <w:sz w:val="20"/>
                <w:szCs w:val="20"/>
                <w:color w:val="auto"/>
              </w:rPr>
            </w:pPr>
          </w:p>
        </w:tc>
        <w:tc>
          <w:tcPr>
            <w:tcW w:w="200" w:type="dxa"/>
            <w:vAlign w:val="bottom"/>
            <w:tcBorders>
              <w:bottom w:val="single" w:sz="8" w:color="EAEBEC"/>
            </w:tcBorders>
          </w:tcPr>
          <w:p>
            <w:pPr>
              <w:spacing w:after="0"/>
              <w:rPr>
                <w:sz w:val="20"/>
                <w:szCs w:val="20"/>
                <w:color w:val="auto"/>
              </w:rPr>
            </w:pPr>
          </w:p>
        </w:tc>
      </w:tr>
      <w:tr>
        <w:trPr>
          <w:trHeight w:val="239"/>
        </w:trPr>
        <w:tc>
          <w:tcPr>
            <w:tcW w:w="5320" w:type="dxa"/>
            <w:vAlign w:val="bottom"/>
            <w:shd w:val="clear" w:color="auto" w:fill="EAEBEC"/>
          </w:tcPr>
          <w:p>
            <w:pPr>
              <w:ind w:left="400"/>
              <w:spacing w:after="0"/>
              <w:rPr>
                <w:sz w:val="20"/>
                <w:szCs w:val="20"/>
                <w:color w:val="auto"/>
              </w:rPr>
            </w:pPr>
            <w:r>
              <w:rPr>
                <w:rFonts w:ascii="Times New Roman" w:cs="Times New Roman" w:eastAsia="Times New Roman" w:hAnsi="Times New Roman"/>
                <w:sz w:val="20"/>
                <w:szCs w:val="20"/>
                <w:color w:val="231F20"/>
              </w:rPr>
              <w:t>Gross profit</w:t>
            </w:r>
          </w:p>
        </w:tc>
        <w:tc>
          <w:tcPr>
            <w:tcW w:w="1040" w:type="dxa"/>
            <w:vAlign w:val="bottom"/>
            <w:gridSpan w:val="3"/>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38.7</w:t>
            </w:r>
          </w:p>
        </w:tc>
        <w:tc>
          <w:tcPr>
            <w:tcW w:w="240" w:type="dxa"/>
            <w:vAlign w:val="bottom"/>
            <w:shd w:val="clear" w:color="auto" w:fill="EAEBEC"/>
          </w:tcPr>
          <w:p>
            <w:pPr>
              <w:spacing w:after="0"/>
              <w:rPr>
                <w:sz w:val="20"/>
                <w:szCs w:val="20"/>
                <w:color w:val="auto"/>
              </w:rPr>
            </w:pPr>
          </w:p>
        </w:tc>
        <w:tc>
          <w:tcPr>
            <w:tcW w:w="100" w:type="dxa"/>
            <w:vAlign w:val="bottom"/>
            <w:shd w:val="clear" w:color="auto" w:fill="EAEBEC"/>
          </w:tcPr>
          <w:p>
            <w:pPr>
              <w:spacing w:after="0"/>
              <w:rPr>
                <w:sz w:val="20"/>
                <w:szCs w:val="20"/>
                <w:color w:val="auto"/>
              </w:rPr>
            </w:pPr>
          </w:p>
        </w:tc>
        <w:tc>
          <w:tcPr>
            <w:tcW w:w="98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38.0</w:t>
            </w:r>
          </w:p>
        </w:tc>
        <w:tc>
          <w:tcPr>
            <w:tcW w:w="100" w:type="dxa"/>
            <w:vAlign w:val="bottom"/>
            <w:shd w:val="clear" w:color="auto" w:fill="EAEBEC"/>
          </w:tcPr>
          <w:p>
            <w:pPr>
              <w:spacing w:after="0"/>
              <w:rPr>
                <w:sz w:val="20"/>
                <w:szCs w:val="20"/>
                <w:color w:val="auto"/>
              </w:rPr>
            </w:pPr>
          </w:p>
        </w:tc>
        <w:tc>
          <w:tcPr>
            <w:tcW w:w="320" w:type="dxa"/>
            <w:vAlign w:val="bottom"/>
            <w:shd w:val="clear" w:color="auto" w:fill="EAEBEC"/>
          </w:tcPr>
          <w:p>
            <w:pPr>
              <w:spacing w:after="0"/>
              <w:rPr>
                <w:sz w:val="20"/>
                <w:szCs w:val="20"/>
                <w:color w:val="auto"/>
              </w:rPr>
            </w:pPr>
          </w:p>
        </w:tc>
        <w:tc>
          <w:tcPr>
            <w:tcW w:w="9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37.6</w:t>
            </w:r>
          </w:p>
        </w:tc>
        <w:tc>
          <w:tcPr>
            <w:tcW w:w="100" w:type="dxa"/>
            <w:vAlign w:val="bottom"/>
            <w:shd w:val="clear" w:color="auto" w:fill="EAEBEC"/>
          </w:tcPr>
          <w:p>
            <w:pPr>
              <w:spacing w:after="0"/>
              <w:rPr>
                <w:sz w:val="20"/>
                <w:szCs w:val="20"/>
                <w:color w:val="auto"/>
              </w:rPr>
            </w:pPr>
          </w:p>
        </w:tc>
        <w:tc>
          <w:tcPr>
            <w:tcW w:w="200" w:type="dxa"/>
            <w:vAlign w:val="bottom"/>
            <w:shd w:val="clear" w:color="auto" w:fill="EAEBEC"/>
          </w:tcPr>
          <w:p>
            <w:pPr>
              <w:spacing w:after="0"/>
              <w:rPr>
                <w:sz w:val="20"/>
                <w:szCs w:val="20"/>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231F20"/>
              </w:rPr>
              <w:t>Selling, general and administrative expenses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36.6</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4"/>
        </w:trPr>
        <w:tc>
          <w:tcPr>
            <w:tcW w:w="53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Goodwill impairment</w:t>
            </w:r>
          </w:p>
        </w:tc>
        <w:tc>
          <w:tcPr>
            <w:tcW w:w="60" w:type="dxa"/>
            <w:vAlign w:val="bottom"/>
            <w:tcBorders>
              <w:bottom w:val="single" w:sz="8" w:color="231F20"/>
            </w:tcBorders>
            <w:shd w:val="clear" w:color="auto" w:fill="EAEBEC"/>
          </w:tcPr>
          <w:p>
            <w:pPr>
              <w:spacing w:after="0"/>
              <w:rPr>
                <w:sz w:val="21"/>
                <w:szCs w:val="21"/>
                <w:color w:val="auto"/>
              </w:rPr>
            </w:pPr>
          </w:p>
        </w:tc>
        <w:tc>
          <w:tcPr>
            <w:tcW w:w="980" w:type="dxa"/>
            <w:vAlign w:val="bottom"/>
            <w:tcBorders>
              <w:bottom w:val="single" w:sz="8" w:color="231F20"/>
            </w:tcBorders>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60" w:type="dxa"/>
            <w:vAlign w:val="bottom"/>
            <w:tcBorders>
              <w:bottom w:val="single" w:sz="8" w:color="231F20"/>
            </w:tcBorders>
            <w:shd w:val="clear" w:color="auto" w:fill="EAEBEC"/>
          </w:tcPr>
          <w:p>
            <w:pPr>
              <w:spacing w:after="0"/>
              <w:rPr>
                <w:sz w:val="21"/>
                <w:szCs w:val="21"/>
                <w:color w:val="auto"/>
              </w:rPr>
            </w:pPr>
          </w:p>
        </w:tc>
        <w:tc>
          <w:tcPr>
            <w:tcW w:w="9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420" w:type="dxa"/>
            <w:vAlign w:val="bottom"/>
            <w:gridSpan w:val="2"/>
            <w:shd w:val="clear" w:color="auto" w:fill="EAEBEC"/>
          </w:tcPr>
          <w:p>
            <w:pPr>
              <w:spacing w:after="0"/>
              <w:rPr>
                <w:sz w:val="21"/>
                <w:szCs w:val="21"/>
                <w:color w:val="auto"/>
              </w:rPr>
            </w:pPr>
          </w:p>
        </w:tc>
        <w:tc>
          <w:tcPr>
            <w:tcW w:w="960" w:type="dxa"/>
            <w:vAlign w:val="bottom"/>
            <w:tcBorders>
              <w:bottom w:val="single" w:sz="8" w:color="231F20"/>
            </w:tcBorders>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19.5</w:t>
            </w:r>
          </w:p>
        </w:tc>
        <w:tc>
          <w:tcPr>
            <w:tcW w:w="100" w:type="dxa"/>
            <w:vAlign w:val="bottom"/>
            <w:shd w:val="clear" w:color="auto" w:fill="EAEBEC"/>
          </w:tcPr>
          <w:p>
            <w:pPr>
              <w:spacing w:after="0"/>
              <w:rPr>
                <w:sz w:val="21"/>
                <w:szCs w:val="21"/>
                <w:color w:val="auto"/>
              </w:rPr>
            </w:pPr>
          </w:p>
        </w:tc>
        <w:tc>
          <w:tcPr>
            <w:tcW w:w="200" w:type="dxa"/>
            <w:vAlign w:val="bottom"/>
            <w:shd w:val="clear" w:color="auto" w:fill="EAEBEC"/>
          </w:tcPr>
          <w:p>
            <w:pPr>
              <w:spacing w:after="0"/>
              <w:rPr>
                <w:sz w:val="21"/>
                <w:szCs w:val="21"/>
                <w:color w:val="auto"/>
              </w:rPr>
            </w:pPr>
          </w:p>
        </w:tc>
      </w:tr>
      <w:tr>
        <w:trPr>
          <w:trHeight w:val="239"/>
        </w:trPr>
        <w:tc>
          <w:tcPr>
            <w:tcW w:w="53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Operating income (loss)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(18.9)</w:t>
            </w:r>
          </w:p>
        </w:tc>
        <w:tc>
          <w:tcPr>
            <w:tcW w:w="200" w:type="dxa"/>
            <w:vAlign w:val="bottom"/>
          </w:tcPr>
          <w:p>
            <w:pPr>
              <w:spacing w:after="0"/>
              <w:rPr>
                <w:sz w:val="20"/>
                <w:szCs w:val="20"/>
                <w:color w:val="auto"/>
              </w:rPr>
            </w:pPr>
          </w:p>
        </w:tc>
      </w:tr>
      <w:tr>
        <w:trPr>
          <w:trHeight w:val="244"/>
        </w:trPr>
        <w:tc>
          <w:tcPr>
            <w:tcW w:w="53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Interest income</w:t>
            </w:r>
          </w:p>
        </w:tc>
        <w:tc>
          <w:tcPr>
            <w:tcW w:w="1280" w:type="dxa"/>
            <w:vAlign w:val="bottom"/>
            <w:gridSpan w:val="4"/>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rPr>
              <w:t>(0.1)</w:t>
            </w:r>
          </w:p>
        </w:tc>
        <w:tc>
          <w:tcPr>
            <w:tcW w:w="1180" w:type="dxa"/>
            <w:vAlign w:val="bottom"/>
            <w:gridSpan w:val="4"/>
            <w:shd w:val="clear" w:color="auto" w:fill="EAEBEC"/>
          </w:tcPr>
          <w:p>
            <w:pPr>
              <w:jc w:val="right"/>
              <w:ind w:right="40"/>
              <w:spacing w:after="0"/>
              <w:rPr>
                <w:sz w:val="20"/>
                <w:szCs w:val="20"/>
                <w:color w:val="auto"/>
              </w:rPr>
            </w:pPr>
            <w:r>
              <w:rPr>
                <w:rFonts w:ascii="Times New Roman" w:cs="Times New Roman" w:eastAsia="Times New Roman" w:hAnsi="Times New Roman"/>
                <w:sz w:val="20"/>
                <w:szCs w:val="20"/>
                <w:color w:val="231F20"/>
              </w:rPr>
              <w:t>(0.1)</w:t>
            </w:r>
          </w:p>
        </w:tc>
        <w:tc>
          <w:tcPr>
            <w:tcW w:w="320" w:type="dxa"/>
            <w:vAlign w:val="bottom"/>
            <w:shd w:val="clear" w:color="auto" w:fill="EAEBEC"/>
          </w:tcPr>
          <w:p>
            <w:pPr>
              <w:spacing w:after="0"/>
              <w:rPr>
                <w:sz w:val="21"/>
                <w:szCs w:val="21"/>
                <w:color w:val="auto"/>
              </w:rPr>
            </w:pPr>
          </w:p>
        </w:tc>
        <w:tc>
          <w:tcPr>
            <w:tcW w:w="1060" w:type="dxa"/>
            <w:vAlign w:val="bottom"/>
            <w:gridSpan w:val="3"/>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(0.1)</w:t>
            </w:r>
          </w:p>
        </w:tc>
        <w:tc>
          <w:tcPr>
            <w:tcW w:w="200" w:type="dxa"/>
            <w:vAlign w:val="bottom"/>
            <w:shd w:val="clear" w:color="auto" w:fill="EAEBEC"/>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231F20"/>
              </w:rPr>
              <w:t>Interest expense</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24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4"/>
        </w:trPr>
        <w:tc>
          <w:tcPr>
            <w:tcW w:w="53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Loss on partial extinguishment of debt</w:t>
            </w:r>
          </w:p>
        </w:tc>
        <w:tc>
          <w:tcPr>
            <w:tcW w:w="1040" w:type="dxa"/>
            <w:vAlign w:val="bottom"/>
            <w:gridSpan w:val="3"/>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24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60" w:type="dxa"/>
            <w:vAlign w:val="bottom"/>
            <w:shd w:val="clear" w:color="auto" w:fill="EAEBEC"/>
          </w:tcPr>
          <w:p>
            <w:pPr>
              <w:spacing w:after="0"/>
              <w:rPr>
                <w:sz w:val="21"/>
                <w:szCs w:val="21"/>
                <w:color w:val="auto"/>
              </w:rPr>
            </w:pPr>
          </w:p>
        </w:tc>
        <w:tc>
          <w:tcPr>
            <w:tcW w:w="1340" w:type="dxa"/>
            <w:vAlign w:val="bottom"/>
            <w:gridSpan w:val="3"/>
            <w:shd w:val="clear" w:color="auto" w:fill="EAEBEC"/>
          </w:tcPr>
          <w:p>
            <w:pPr>
              <w:jc w:val="right"/>
              <w:ind w:right="440"/>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100" w:type="dxa"/>
            <w:vAlign w:val="bottom"/>
            <w:shd w:val="clear" w:color="auto" w:fill="EAEBEC"/>
          </w:tcPr>
          <w:p>
            <w:pPr>
              <w:spacing w:after="0"/>
              <w:rPr>
                <w:sz w:val="21"/>
                <w:szCs w:val="21"/>
                <w:color w:val="auto"/>
              </w:rPr>
            </w:pPr>
          </w:p>
        </w:tc>
        <w:tc>
          <w:tcPr>
            <w:tcW w:w="200" w:type="dxa"/>
            <w:vAlign w:val="bottom"/>
            <w:shd w:val="clear" w:color="auto" w:fill="EAEBEC"/>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231F20"/>
              </w:rPr>
              <w:t>Other non-operating income</w:t>
            </w:r>
          </w:p>
        </w:tc>
        <w:tc>
          <w:tcPr>
            <w:tcW w:w="60" w:type="dxa"/>
            <w:vAlign w:val="bottom"/>
          </w:tcPr>
          <w:p>
            <w:pPr>
              <w:spacing w:after="0"/>
              <w:rPr>
                <w:sz w:val="21"/>
                <w:szCs w:val="21"/>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(0.1)</w:t>
            </w:r>
          </w:p>
        </w:tc>
        <w:tc>
          <w:tcPr>
            <w:tcW w:w="32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(0.1)</w:t>
            </w:r>
          </w:p>
        </w:tc>
        <w:tc>
          <w:tcPr>
            <w:tcW w:w="200" w:type="dxa"/>
            <w:vAlign w:val="bottom"/>
          </w:tcPr>
          <w:p>
            <w:pPr>
              <w:spacing w:after="0"/>
              <w:rPr>
                <w:sz w:val="21"/>
                <w:szCs w:val="21"/>
                <w:color w:val="auto"/>
              </w:rPr>
            </w:pPr>
          </w:p>
        </w:tc>
      </w:tr>
      <w:tr>
        <w:trPr>
          <w:trHeight w:val="220"/>
        </w:trPr>
        <w:tc>
          <w:tcPr>
            <w:tcW w:w="5320" w:type="dxa"/>
            <w:vAlign w:val="bottom"/>
            <w:tcBorders>
              <w:top w:val="single" w:sz="8" w:color="EAEBEC"/>
            </w:tcBorders>
            <w:shd w:val="clear" w:color="auto" w:fill="EAEBEC"/>
          </w:tcPr>
          <w:p>
            <w:pPr>
              <w:ind w:left="400"/>
              <w:spacing w:after="0" w:line="220" w:lineRule="exact"/>
              <w:rPr>
                <w:sz w:val="20"/>
                <w:szCs w:val="20"/>
                <w:color w:val="auto"/>
              </w:rPr>
            </w:pPr>
            <w:r>
              <w:rPr>
                <w:rFonts w:ascii="Times New Roman" w:cs="Times New Roman" w:eastAsia="Times New Roman" w:hAnsi="Times New Roman"/>
                <w:sz w:val="20"/>
                <w:szCs w:val="20"/>
                <w:color w:val="231F20"/>
              </w:rPr>
              <w:t>Loss before income taxes and income from</w:t>
            </w:r>
          </w:p>
        </w:tc>
        <w:tc>
          <w:tcPr>
            <w:tcW w:w="60" w:type="dxa"/>
            <w:vAlign w:val="bottom"/>
            <w:tcBorders>
              <w:top w:val="single" w:sz="8" w:color="231F20"/>
            </w:tcBorders>
          </w:tcPr>
          <w:p>
            <w:pPr>
              <w:spacing w:after="0"/>
              <w:rPr>
                <w:sz w:val="19"/>
                <w:szCs w:val="19"/>
                <w:color w:val="auto"/>
              </w:rPr>
            </w:pPr>
          </w:p>
        </w:tc>
        <w:tc>
          <w:tcPr>
            <w:tcW w:w="960" w:type="dxa"/>
            <w:vAlign w:val="bottom"/>
            <w:tcBorders>
              <w:top w:val="single" w:sz="8" w:color="231F20"/>
            </w:tcBorders>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231F20"/>
            </w:tcBorders>
          </w:tcPr>
          <w:p>
            <w:pPr>
              <w:spacing w:after="0"/>
              <w:rPr>
                <w:sz w:val="19"/>
                <w:szCs w:val="19"/>
                <w:color w:val="auto"/>
              </w:rPr>
            </w:pPr>
          </w:p>
        </w:tc>
        <w:tc>
          <w:tcPr>
            <w:tcW w:w="920" w:type="dxa"/>
            <w:vAlign w:val="bottom"/>
            <w:tcBorders>
              <w:top w:val="single" w:sz="8" w:color="231F20"/>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940" w:type="dxa"/>
            <w:vAlign w:val="bottom"/>
            <w:tcBorders>
              <w:top w:val="single" w:sz="8" w:color="231F20"/>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0"/>
        </w:trPr>
        <w:tc>
          <w:tcPr>
            <w:tcW w:w="5320" w:type="dxa"/>
            <w:vAlign w:val="bottom"/>
            <w:shd w:val="clear" w:color="auto" w:fill="EAEBEC"/>
          </w:tcPr>
          <w:p>
            <w:pPr>
              <w:ind w:left="560"/>
              <w:spacing w:after="0"/>
              <w:rPr>
                <w:sz w:val="20"/>
                <w:szCs w:val="20"/>
                <w:color w:val="auto"/>
              </w:rPr>
            </w:pPr>
            <w:r>
              <w:rPr>
                <w:rFonts w:ascii="Times New Roman" w:cs="Times New Roman" w:eastAsia="Times New Roman" w:hAnsi="Times New Roman"/>
                <w:sz w:val="20"/>
                <w:szCs w:val="20"/>
                <w:color w:val="231F20"/>
              </w:rPr>
              <w:t>equity method investees</w:t>
            </w:r>
          </w:p>
        </w:tc>
        <w:tc>
          <w:tcPr>
            <w:tcW w:w="128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231F20"/>
              </w:rPr>
              <w:t>(0.1)</w:t>
            </w:r>
          </w:p>
        </w:tc>
        <w:tc>
          <w:tcPr>
            <w:tcW w:w="10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(2.1)</w:t>
            </w:r>
          </w:p>
        </w:tc>
        <w:tc>
          <w:tcPr>
            <w:tcW w:w="32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(21.2)</w:t>
            </w:r>
          </w:p>
        </w:tc>
        <w:tc>
          <w:tcPr>
            <w:tcW w:w="200" w:type="dxa"/>
            <w:vAlign w:val="bottom"/>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231F20"/>
              </w:rPr>
              <w:t>Income tax expense (benefit)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0.1</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(0.1)</w:t>
            </w:r>
          </w:p>
        </w:tc>
        <w:tc>
          <w:tcPr>
            <w:tcW w:w="32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(0.4)</w:t>
            </w:r>
          </w:p>
        </w:tc>
        <w:tc>
          <w:tcPr>
            <w:tcW w:w="200" w:type="dxa"/>
            <w:vAlign w:val="bottom"/>
          </w:tcPr>
          <w:p>
            <w:pPr>
              <w:spacing w:after="0"/>
              <w:rPr>
                <w:sz w:val="21"/>
                <w:szCs w:val="21"/>
                <w:color w:val="auto"/>
              </w:rPr>
            </w:pPr>
          </w:p>
        </w:tc>
      </w:tr>
      <w:tr>
        <w:trPr>
          <w:trHeight w:val="264"/>
        </w:trPr>
        <w:tc>
          <w:tcPr>
            <w:tcW w:w="53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Income from equity method investees</w:t>
            </w:r>
          </w:p>
        </w:tc>
        <w:tc>
          <w:tcPr>
            <w:tcW w:w="1280" w:type="dxa"/>
            <w:vAlign w:val="bottom"/>
            <w:gridSpan w:val="4"/>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rPr>
              <w:t>(0.4)</w:t>
            </w:r>
          </w:p>
        </w:tc>
        <w:tc>
          <w:tcPr>
            <w:tcW w:w="1180" w:type="dxa"/>
            <w:vAlign w:val="bottom"/>
            <w:gridSpan w:val="4"/>
            <w:shd w:val="clear" w:color="auto" w:fill="EAEBEC"/>
          </w:tcPr>
          <w:p>
            <w:pPr>
              <w:jc w:val="right"/>
              <w:ind w:right="40"/>
              <w:spacing w:after="0"/>
              <w:rPr>
                <w:sz w:val="20"/>
                <w:szCs w:val="20"/>
                <w:color w:val="auto"/>
              </w:rPr>
            </w:pPr>
            <w:r>
              <w:rPr>
                <w:rFonts w:ascii="Times New Roman" w:cs="Times New Roman" w:eastAsia="Times New Roman" w:hAnsi="Times New Roman"/>
                <w:sz w:val="20"/>
                <w:szCs w:val="20"/>
                <w:color w:val="231F20"/>
              </w:rPr>
              <w:t>(0.3)</w:t>
            </w:r>
          </w:p>
        </w:tc>
        <w:tc>
          <w:tcPr>
            <w:tcW w:w="320" w:type="dxa"/>
            <w:vAlign w:val="bottom"/>
            <w:shd w:val="clear" w:color="auto" w:fill="EAEBEC"/>
          </w:tcPr>
          <w:p>
            <w:pPr>
              <w:spacing w:after="0"/>
              <w:rPr>
                <w:sz w:val="22"/>
                <w:szCs w:val="22"/>
                <w:color w:val="auto"/>
              </w:rPr>
            </w:pPr>
          </w:p>
        </w:tc>
        <w:tc>
          <w:tcPr>
            <w:tcW w:w="1060" w:type="dxa"/>
            <w:vAlign w:val="bottom"/>
            <w:gridSpan w:val="3"/>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(0.3)</w:t>
            </w:r>
          </w:p>
        </w:tc>
        <w:tc>
          <w:tcPr>
            <w:tcW w:w="200" w:type="dxa"/>
            <w:vAlign w:val="bottom"/>
            <w:shd w:val="clear" w:color="auto" w:fill="EAEBEC"/>
          </w:tcPr>
          <w:p>
            <w:pPr>
              <w:spacing w:after="0"/>
              <w:rPr>
                <w:sz w:val="22"/>
                <w:szCs w:val="22"/>
                <w:color w:val="auto"/>
              </w:rPr>
            </w:pPr>
          </w:p>
        </w:tc>
      </w:tr>
      <w:tr>
        <w:trPr>
          <w:trHeight w:val="200"/>
        </w:trPr>
        <w:tc>
          <w:tcPr>
            <w:tcW w:w="5320" w:type="dxa"/>
            <w:vAlign w:val="bottom"/>
            <w:tcBorders>
              <w:top w:val="single" w:sz="8" w:color="EAEBEC"/>
            </w:tcBorders>
          </w:tcPr>
          <w:p>
            <w:pPr>
              <w:ind w:left="400"/>
              <w:spacing w:after="0" w:line="200" w:lineRule="exact"/>
              <w:rPr>
                <w:sz w:val="20"/>
                <w:szCs w:val="20"/>
                <w:color w:val="auto"/>
              </w:rPr>
            </w:pPr>
            <w:r>
              <w:rPr>
                <w:rFonts w:ascii="Times New Roman" w:cs="Times New Roman" w:eastAsia="Times New Roman" w:hAnsi="Times New Roman"/>
                <w:sz w:val="20"/>
                <w:szCs w:val="20"/>
                <w:color w:val="231F20"/>
              </w:rPr>
              <w:t>Net income (loss) attributable to Class A and B-1 common</w:t>
            </w:r>
          </w:p>
        </w:tc>
        <w:tc>
          <w:tcPr>
            <w:tcW w:w="60" w:type="dxa"/>
            <w:vAlign w:val="bottom"/>
            <w:tcBorders>
              <w:top w:val="single" w:sz="8" w:color="231F20"/>
            </w:tcBorders>
          </w:tcPr>
          <w:p>
            <w:pPr>
              <w:spacing w:after="0"/>
              <w:rPr>
                <w:sz w:val="17"/>
                <w:szCs w:val="17"/>
                <w:color w:val="auto"/>
              </w:rPr>
            </w:pPr>
          </w:p>
        </w:tc>
        <w:tc>
          <w:tcPr>
            <w:tcW w:w="960" w:type="dxa"/>
            <w:vAlign w:val="bottom"/>
            <w:tcBorders>
              <w:top w:val="single" w:sz="8" w:color="231F20"/>
            </w:tcBorders>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240" w:type="dxa"/>
            <w:vAlign w:val="bottom"/>
            <w:tcBorders>
              <w:top w:val="single" w:sz="8" w:color="EAEBEC"/>
            </w:tcBorders>
          </w:tcPr>
          <w:p>
            <w:pPr>
              <w:spacing w:after="0"/>
              <w:rPr>
                <w:sz w:val="17"/>
                <w:szCs w:val="17"/>
                <w:color w:val="auto"/>
              </w:rPr>
            </w:pPr>
          </w:p>
        </w:tc>
        <w:tc>
          <w:tcPr>
            <w:tcW w:w="100" w:type="dxa"/>
            <w:vAlign w:val="bottom"/>
            <w:tcBorders>
              <w:top w:val="single" w:sz="8" w:color="EAEBEC"/>
            </w:tcBorders>
          </w:tcPr>
          <w:p>
            <w:pPr>
              <w:spacing w:after="0"/>
              <w:rPr>
                <w:sz w:val="17"/>
                <w:szCs w:val="17"/>
                <w:color w:val="auto"/>
              </w:rPr>
            </w:pPr>
          </w:p>
        </w:tc>
        <w:tc>
          <w:tcPr>
            <w:tcW w:w="60" w:type="dxa"/>
            <w:vAlign w:val="bottom"/>
            <w:tcBorders>
              <w:top w:val="single" w:sz="8" w:color="231F20"/>
            </w:tcBorders>
          </w:tcPr>
          <w:p>
            <w:pPr>
              <w:spacing w:after="0"/>
              <w:rPr>
                <w:sz w:val="17"/>
                <w:szCs w:val="17"/>
                <w:color w:val="auto"/>
              </w:rPr>
            </w:pPr>
          </w:p>
        </w:tc>
        <w:tc>
          <w:tcPr>
            <w:tcW w:w="920" w:type="dxa"/>
            <w:vAlign w:val="bottom"/>
            <w:tcBorders>
              <w:top w:val="single" w:sz="8" w:color="231F20"/>
            </w:tcBorders>
          </w:tcPr>
          <w:p>
            <w:pPr>
              <w:spacing w:after="0"/>
              <w:rPr>
                <w:sz w:val="17"/>
                <w:szCs w:val="17"/>
                <w:color w:val="auto"/>
              </w:rPr>
            </w:pPr>
          </w:p>
        </w:tc>
        <w:tc>
          <w:tcPr>
            <w:tcW w:w="100" w:type="dxa"/>
            <w:vAlign w:val="bottom"/>
            <w:tcBorders>
              <w:top w:val="single" w:sz="8" w:color="EAEBEC"/>
            </w:tcBorders>
          </w:tcPr>
          <w:p>
            <w:pPr>
              <w:spacing w:after="0"/>
              <w:rPr>
                <w:sz w:val="17"/>
                <w:szCs w:val="17"/>
                <w:color w:val="auto"/>
              </w:rPr>
            </w:pPr>
          </w:p>
        </w:tc>
        <w:tc>
          <w:tcPr>
            <w:tcW w:w="320" w:type="dxa"/>
            <w:vAlign w:val="bottom"/>
            <w:tcBorders>
              <w:top w:val="single" w:sz="8" w:color="EAEBEC"/>
            </w:tcBorders>
          </w:tcPr>
          <w:p>
            <w:pPr>
              <w:spacing w:after="0"/>
              <w:rPr>
                <w:sz w:val="17"/>
                <w:szCs w:val="17"/>
                <w:color w:val="auto"/>
              </w:rPr>
            </w:pPr>
          </w:p>
        </w:tc>
        <w:tc>
          <w:tcPr>
            <w:tcW w:w="20" w:type="dxa"/>
            <w:vAlign w:val="bottom"/>
            <w:tcBorders>
              <w:top w:val="single" w:sz="8" w:color="231F20"/>
            </w:tcBorders>
          </w:tcPr>
          <w:p>
            <w:pPr>
              <w:spacing w:after="0"/>
              <w:rPr>
                <w:sz w:val="17"/>
                <w:szCs w:val="17"/>
                <w:color w:val="auto"/>
              </w:rPr>
            </w:pPr>
          </w:p>
        </w:tc>
        <w:tc>
          <w:tcPr>
            <w:tcW w:w="940" w:type="dxa"/>
            <w:vAlign w:val="bottom"/>
            <w:tcBorders>
              <w:top w:val="single" w:sz="8" w:color="231F20"/>
            </w:tcBorders>
          </w:tcPr>
          <w:p>
            <w:pPr>
              <w:spacing w:after="0"/>
              <w:rPr>
                <w:sz w:val="17"/>
                <w:szCs w:val="17"/>
                <w:color w:val="auto"/>
              </w:rPr>
            </w:pPr>
          </w:p>
        </w:tc>
        <w:tc>
          <w:tcPr>
            <w:tcW w:w="100" w:type="dxa"/>
            <w:vAlign w:val="bottom"/>
            <w:tcBorders>
              <w:top w:val="single" w:sz="8" w:color="EAEBEC"/>
            </w:tcBorders>
          </w:tcPr>
          <w:p>
            <w:pPr>
              <w:spacing w:after="0"/>
              <w:rPr>
                <w:sz w:val="17"/>
                <w:szCs w:val="17"/>
                <w:color w:val="auto"/>
              </w:rPr>
            </w:pPr>
          </w:p>
        </w:tc>
        <w:tc>
          <w:tcPr>
            <w:tcW w:w="200" w:type="dxa"/>
            <w:vAlign w:val="bottom"/>
            <w:tcBorders>
              <w:top w:val="single" w:sz="8" w:color="EAEBEC"/>
            </w:tcBorders>
          </w:tcPr>
          <w:p>
            <w:pPr>
              <w:spacing w:after="0"/>
              <w:rPr>
                <w:sz w:val="17"/>
                <w:szCs w:val="17"/>
                <w:color w:val="auto"/>
              </w:rPr>
            </w:pPr>
          </w:p>
        </w:tc>
      </w:tr>
      <w:tr>
        <w:trPr>
          <w:trHeight w:val="266"/>
        </w:trPr>
        <w:tc>
          <w:tcPr>
            <w:tcW w:w="5320" w:type="dxa"/>
            <w:vAlign w:val="bottom"/>
          </w:tcPr>
          <w:p>
            <w:pPr>
              <w:ind w:left="560"/>
              <w:spacing w:after="0"/>
              <w:rPr>
                <w:sz w:val="20"/>
                <w:szCs w:val="20"/>
                <w:color w:val="auto"/>
              </w:rPr>
            </w:pPr>
            <w:r>
              <w:rPr>
                <w:rFonts w:ascii="Times New Roman" w:cs="Times New Roman" w:eastAsia="Times New Roman" w:hAnsi="Times New Roman"/>
                <w:sz w:val="20"/>
                <w:szCs w:val="20"/>
                <w:color w:val="231F20"/>
              </w:rPr>
              <w:t>stockholders</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0.2%</w:t>
            </w:r>
          </w:p>
        </w:tc>
        <w:tc>
          <w:tcPr>
            <w:tcW w:w="1500" w:type="dxa"/>
            <w:vAlign w:val="bottom"/>
            <w:gridSpan w:val="5"/>
          </w:tcPr>
          <w:p>
            <w:pPr>
              <w:jc w:val="right"/>
              <w:ind w:right="200"/>
              <w:spacing w:after="0"/>
              <w:rPr>
                <w:sz w:val="20"/>
                <w:szCs w:val="20"/>
                <w:color w:val="auto"/>
              </w:rPr>
            </w:pPr>
            <w:r>
              <w:rPr>
                <w:rFonts w:ascii="Times New Roman" w:cs="Times New Roman" w:eastAsia="Times New Roman" w:hAnsi="Times New Roman"/>
                <w:sz w:val="20"/>
                <w:szCs w:val="20"/>
                <w:color w:val="231F20"/>
              </w:rPr>
              <w:t>(1.7)%</w:t>
            </w:r>
          </w:p>
        </w:tc>
        <w:tc>
          <w:tcPr>
            <w:tcW w:w="126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231F20"/>
              </w:rPr>
              <w:t>(20.5)%</w:t>
            </w:r>
          </w:p>
        </w:tc>
      </w:tr>
      <w:tr>
        <w:trPr>
          <w:trHeight w:val="467"/>
        </w:trPr>
        <w:tc>
          <w:tcPr>
            <w:tcW w:w="5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Fiscal years ended</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4"/>
        </w:trPr>
        <w:tc>
          <w:tcPr>
            <w:tcW w:w="5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January 31,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c>
          <w:tcPr>
            <w:tcW w:w="20" w:type="dxa"/>
            <w:vAlign w:val="bottom"/>
          </w:tcPr>
          <w:p>
            <w:pPr>
              <w:spacing w:after="0"/>
              <w:rPr>
                <w:sz w:val="16"/>
                <w:szCs w:val="16"/>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February 3,</w:t>
            </w:r>
          </w:p>
        </w:tc>
      </w:tr>
      <w:tr>
        <w:trPr>
          <w:trHeight w:val="203"/>
        </w:trPr>
        <w:tc>
          <w:tcPr>
            <w:tcW w:w="532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3"/>
          </w:tcPr>
          <w:p>
            <w:pPr>
              <w:jc w:val="center"/>
              <w:ind w:left="144"/>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3"/>
        </w:trPr>
        <w:tc>
          <w:tcPr>
            <w:tcW w:w="5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7"/>
              </w:rPr>
              <w:t>(52 weeks)</w:t>
            </w:r>
          </w:p>
        </w:tc>
        <w:tc>
          <w:tcPr>
            <w:tcW w:w="2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top w:val="single" w:sz="8" w:color="231F20"/>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top w:val="single" w:sz="8" w:color="231F20"/>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w w:val="97"/>
              </w:rPr>
              <w:t>(53 weeks)</w:t>
            </w:r>
          </w:p>
        </w:tc>
        <w:tc>
          <w:tcPr>
            <w:tcW w:w="200" w:type="dxa"/>
            <w:vAlign w:val="bottom"/>
          </w:tcPr>
          <w:p>
            <w:pPr>
              <w:spacing w:after="0"/>
              <w:rPr>
                <w:sz w:val="16"/>
                <w:szCs w:val="16"/>
                <w:color w:val="auto"/>
              </w:rPr>
            </w:pPr>
          </w:p>
        </w:tc>
      </w:tr>
      <w:tr>
        <w:trPr>
          <w:trHeight w:val="244"/>
        </w:trPr>
        <w:tc>
          <w:tcPr>
            <w:tcW w:w="53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Operational Data:</w:t>
            </w:r>
          </w:p>
        </w:tc>
        <w:tc>
          <w:tcPr>
            <w:tcW w:w="60" w:type="dxa"/>
            <w:vAlign w:val="bottom"/>
            <w:shd w:val="clear" w:color="auto" w:fill="EAEBEC"/>
          </w:tcPr>
          <w:p>
            <w:pPr>
              <w:spacing w:after="0"/>
              <w:rPr>
                <w:sz w:val="21"/>
                <w:szCs w:val="21"/>
                <w:color w:val="auto"/>
              </w:rPr>
            </w:pPr>
          </w:p>
        </w:tc>
        <w:tc>
          <w:tcPr>
            <w:tcW w:w="96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24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60" w:type="dxa"/>
            <w:vAlign w:val="bottom"/>
            <w:shd w:val="clear" w:color="auto" w:fill="EAEBEC"/>
          </w:tcPr>
          <w:p>
            <w:pPr>
              <w:spacing w:after="0"/>
              <w:rPr>
                <w:sz w:val="21"/>
                <w:szCs w:val="21"/>
                <w:color w:val="auto"/>
              </w:rPr>
            </w:pPr>
          </w:p>
        </w:tc>
        <w:tc>
          <w:tcPr>
            <w:tcW w:w="92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32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94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200" w:type="dxa"/>
            <w:vAlign w:val="bottom"/>
            <w:shd w:val="clear" w:color="auto" w:fill="EAEBEC"/>
          </w:tcPr>
          <w:p>
            <w:pPr>
              <w:spacing w:after="0"/>
              <w:rPr>
                <w:sz w:val="21"/>
                <w:szCs w:val="21"/>
                <w:color w:val="auto"/>
              </w:rPr>
            </w:pPr>
          </w:p>
        </w:tc>
      </w:tr>
      <w:tr>
        <w:trPr>
          <w:trHeight w:val="244"/>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231F20"/>
              </w:rPr>
              <w:t>Comparable sales change</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1500" w:type="dxa"/>
            <w:vAlign w:val="bottom"/>
            <w:gridSpan w:val="5"/>
          </w:tcPr>
          <w:p>
            <w:pPr>
              <w:jc w:val="right"/>
              <w:ind w:right="140"/>
              <w:spacing w:after="0"/>
              <w:rPr>
                <w:sz w:val="20"/>
                <w:szCs w:val="20"/>
                <w:color w:val="auto"/>
              </w:rPr>
            </w:pPr>
            <w:r>
              <w:rPr>
                <w:rFonts w:ascii="Times New Roman" w:cs="Times New Roman" w:eastAsia="Times New Roman" w:hAnsi="Times New Roman"/>
                <w:sz w:val="20"/>
                <w:szCs w:val="20"/>
                <w:color w:val="231F20"/>
              </w:rPr>
              <w:t>0.3%</w:t>
            </w: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231F20"/>
              </w:rPr>
              <w:t>1.8%</w:t>
            </w:r>
          </w:p>
        </w:tc>
      </w:tr>
      <w:tr>
        <w:trPr>
          <w:trHeight w:val="244"/>
        </w:trPr>
        <w:tc>
          <w:tcPr>
            <w:tcW w:w="53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Total pet care centers (U.S. and Puerto Rico) at end of period</w:t>
            </w:r>
          </w:p>
        </w:tc>
        <w:tc>
          <w:tcPr>
            <w:tcW w:w="102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1,382</w:t>
            </w:r>
          </w:p>
        </w:tc>
        <w:tc>
          <w:tcPr>
            <w:tcW w:w="20" w:type="dxa"/>
            <w:vAlign w:val="bottom"/>
            <w:shd w:val="clear" w:color="auto" w:fill="EAEBEC"/>
          </w:tcPr>
          <w:p>
            <w:pPr>
              <w:spacing w:after="0"/>
              <w:rPr>
                <w:sz w:val="21"/>
                <w:szCs w:val="21"/>
                <w:color w:val="auto"/>
              </w:rPr>
            </w:pPr>
          </w:p>
        </w:tc>
        <w:tc>
          <w:tcPr>
            <w:tcW w:w="240" w:type="dxa"/>
            <w:vAlign w:val="bottom"/>
            <w:shd w:val="clear" w:color="auto" w:fill="EAEBEC"/>
          </w:tcPr>
          <w:p>
            <w:pPr>
              <w:spacing w:after="0"/>
              <w:rPr>
                <w:sz w:val="21"/>
                <w:szCs w:val="21"/>
                <w:color w:val="auto"/>
              </w:rPr>
            </w:pPr>
          </w:p>
        </w:tc>
        <w:tc>
          <w:tcPr>
            <w:tcW w:w="1180" w:type="dxa"/>
            <w:vAlign w:val="bottom"/>
            <w:gridSpan w:val="4"/>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1,398</w:t>
            </w:r>
          </w:p>
        </w:tc>
        <w:tc>
          <w:tcPr>
            <w:tcW w:w="320" w:type="dxa"/>
            <w:vAlign w:val="bottom"/>
            <w:shd w:val="clear" w:color="auto" w:fill="EAEBEC"/>
          </w:tcPr>
          <w:p>
            <w:pPr>
              <w:spacing w:after="0"/>
              <w:rPr>
                <w:sz w:val="21"/>
                <w:szCs w:val="21"/>
                <w:color w:val="auto"/>
              </w:rPr>
            </w:pPr>
          </w:p>
        </w:tc>
        <w:tc>
          <w:tcPr>
            <w:tcW w:w="1060" w:type="dxa"/>
            <w:vAlign w:val="bottom"/>
            <w:gridSpan w:val="3"/>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1,423</w:t>
            </w:r>
          </w:p>
        </w:tc>
        <w:tc>
          <w:tcPr>
            <w:tcW w:w="200" w:type="dxa"/>
            <w:vAlign w:val="bottom"/>
            <w:shd w:val="clear" w:color="auto" w:fill="EAEBEC"/>
          </w:tcPr>
          <w:p>
            <w:pPr>
              <w:spacing w:after="0"/>
              <w:rPr>
                <w:sz w:val="21"/>
                <w:szCs w:val="21"/>
                <w:color w:val="auto"/>
              </w:rPr>
            </w:pPr>
          </w:p>
        </w:tc>
      </w:tr>
      <w:tr>
        <w:trPr>
          <w:trHeight w:val="266"/>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231F20"/>
              </w:rPr>
              <w:t>Adjusted EBITDA (in thousands)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  408,167</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231F20"/>
              </w:rPr>
              <w:t>$   336,526</w:t>
            </w:r>
          </w:p>
        </w:tc>
        <w:tc>
          <w:tcPr>
            <w:tcW w:w="320" w:type="dxa"/>
            <w:vAlign w:val="bottom"/>
          </w:tcPr>
          <w:p>
            <w:pPr>
              <w:spacing w:after="0"/>
              <w:rPr>
                <w:sz w:val="23"/>
                <w:szCs w:val="23"/>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   401,103</w:t>
            </w:r>
          </w:p>
        </w:tc>
        <w:tc>
          <w:tcPr>
            <w:tcW w:w="2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3383280</wp:posOffset>
                </wp:positionH>
                <wp:positionV relativeFrom="paragraph">
                  <wp:posOffset>-2242820</wp:posOffset>
                </wp:positionV>
                <wp:extent cx="659765" cy="30099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9765" cy="300990"/>
                        </a:xfrm>
                        <a:prstGeom prst="rect">
                          <a:avLst/>
                        </a:prstGeom>
                        <a:solidFill>
                          <a:srgbClr val="EAEBEC"/>
                        </a:solidFill>
                      </wps:spPr>
                      <wps:bodyPr/>
                    </wps:wsp>
                  </a:graphicData>
                </a:graphic>
              </wp:anchor>
            </w:drawing>
          </mc:Choice>
          <mc:Fallback>
            <w:pict>
              <v:rect id="Shape 22" o:spid="_x0000_s1047" style="position:absolute;margin-left:266.4pt;margin-top:-176.5999pt;width:51.95pt;height:2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4043045</wp:posOffset>
                </wp:positionH>
                <wp:positionV relativeFrom="paragraph">
                  <wp:posOffset>-2252345</wp:posOffset>
                </wp:positionV>
                <wp:extent cx="212725" cy="31051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2725" cy="310515"/>
                        </a:xfrm>
                        <a:prstGeom prst="rect">
                          <a:avLst/>
                        </a:prstGeom>
                        <a:solidFill>
                          <a:srgbClr val="EAEBEC"/>
                        </a:solidFill>
                      </wps:spPr>
                      <wps:bodyPr/>
                    </wps:wsp>
                  </a:graphicData>
                </a:graphic>
              </wp:anchor>
            </w:drawing>
          </mc:Choice>
          <mc:Fallback>
            <w:pict>
              <v:rect id="Shape 23" o:spid="_x0000_s1048" style="position:absolute;margin-left:318.35pt;margin-top:-177.3499pt;width:16.75pt;height:2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4255770</wp:posOffset>
                </wp:positionH>
                <wp:positionV relativeFrom="paragraph">
                  <wp:posOffset>-2242820</wp:posOffset>
                </wp:positionV>
                <wp:extent cx="618490" cy="30099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 cy="300990"/>
                        </a:xfrm>
                        <a:prstGeom prst="rect">
                          <a:avLst/>
                        </a:prstGeom>
                        <a:solidFill>
                          <a:srgbClr val="EAEBEC"/>
                        </a:solidFill>
                      </wps:spPr>
                      <wps:bodyPr/>
                    </wps:wsp>
                  </a:graphicData>
                </a:graphic>
              </wp:anchor>
            </w:drawing>
          </mc:Choice>
          <mc:Fallback>
            <w:pict>
              <v:rect id="Shape 24" o:spid="_x0000_s1049" style="position:absolute;margin-left:335.1pt;margin-top:-176.5999pt;width:48.7pt;height:2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4874260</wp:posOffset>
                </wp:positionH>
                <wp:positionV relativeFrom="paragraph">
                  <wp:posOffset>-2252345</wp:posOffset>
                </wp:positionV>
                <wp:extent cx="265430" cy="31051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430" cy="310515"/>
                        </a:xfrm>
                        <a:prstGeom prst="rect">
                          <a:avLst/>
                        </a:prstGeom>
                        <a:solidFill>
                          <a:srgbClr val="EAEBEC"/>
                        </a:solidFill>
                      </wps:spPr>
                      <wps:bodyPr/>
                    </wps:wsp>
                  </a:graphicData>
                </a:graphic>
              </wp:anchor>
            </w:drawing>
          </mc:Choice>
          <mc:Fallback>
            <w:pict>
              <v:rect id="Shape 25" o:spid="_x0000_s1050" style="position:absolute;margin-left:383.8pt;margin-top:-177.3499pt;width:20.9pt;height:2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5139690</wp:posOffset>
                </wp:positionH>
                <wp:positionV relativeFrom="paragraph">
                  <wp:posOffset>-2242820</wp:posOffset>
                </wp:positionV>
                <wp:extent cx="618490" cy="30099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 cy="300990"/>
                        </a:xfrm>
                        <a:prstGeom prst="rect">
                          <a:avLst/>
                        </a:prstGeom>
                        <a:solidFill>
                          <a:srgbClr val="EAEBEC"/>
                        </a:solidFill>
                      </wps:spPr>
                      <wps:bodyPr/>
                    </wps:wsp>
                  </a:graphicData>
                </a:graphic>
              </wp:anchor>
            </w:drawing>
          </mc:Choice>
          <mc:Fallback>
            <w:pict>
              <v:rect id="Shape 26" o:spid="_x0000_s1051" style="position:absolute;margin-left:404.7pt;margin-top:-176.5999pt;width:48.7pt;height:2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5758180</wp:posOffset>
                </wp:positionH>
                <wp:positionV relativeFrom="paragraph">
                  <wp:posOffset>-2252345</wp:posOffset>
                </wp:positionV>
                <wp:extent cx="185420" cy="31051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5420" cy="310515"/>
                        </a:xfrm>
                        <a:prstGeom prst="rect">
                          <a:avLst/>
                        </a:prstGeom>
                        <a:solidFill>
                          <a:srgbClr val="EAEBEC"/>
                        </a:solidFill>
                      </wps:spPr>
                      <wps:bodyPr/>
                    </wps:wsp>
                  </a:graphicData>
                </a:graphic>
              </wp:anchor>
            </w:drawing>
          </mc:Choice>
          <mc:Fallback>
            <w:pict>
              <v:rect id="Shape 27" o:spid="_x0000_s1052" style="position:absolute;margin-left:453.4pt;margin-top:-177.3499pt;width:14.6pt;height:24.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w:drawing>
          <wp:anchor simplePos="0" relativeHeight="251657728" behindDoc="1" locked="0" layoutInCell="0" allowOverlap="1">
            <wp:simplePos x="0" y="0"/>
            <wp:positionH relativeFrom="column">
              <wp:posOffset>3364230</wp:posOffset>
            </wp:positionH>
            <wp:positionV relativeFrom="paragraph">
              <wp:posOffset>-5171440</wp:posOffset>
            </wp:positionV>
            <wp:extent cx="241300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a:extLst>
                        <a:ext uri="{28A0092B-C50C-407E-A947-70E740481C1C}"/>
                      </a:extLst>
                    </a:blip>
                    <a:srcRect/>
                    <a:stretch>
                      <a:fillRect/>
                    </a:stretch>
                  </pic:blipFill>
                  <pic:spPr bwMode="auto">
                    <a:xfrm>
                      <a:off x="0" y="0"/>
                      <a:ext cx="2413000" cy="3810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-1035050</wp:posOffset>
            </wp:positionV>
            <wp:extent cx="243840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a:extLst>
                        <a:ext uri="{28A0092B-C50C-407E-A947-70E740481C1C}"/>
                      </a:extLst>
                    </a:blip>
                    <a:srcRect/>
                    <a:stretch>
                      <a:fillRect/>
                    </a:stretch>
                  </pic:blipFill>
                  <pic:spPr bwMode="auto">
                    <a:xfrm>
                      <a:off x="0" y="0"/>
                      <a:ext cx="2438400" cy="3810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b w:val="1"/>
          <w:bCs w:val="1"/>
          <w:color w:val="231F20"/>
        </w:rPr>
        <w:t>Fiscal 2025 (52 weeks) Compared with Fiscal 2024 (52 weeks)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Net Sales and Comparable Sales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231F20"/>
                <w:w w:val="98"/>
              </w:rPr>
              <w:t>Fiscal years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84"/>
        </w:trPr>
        <w:tc>
          <w:tcPr>
            <w:tcW w:w="3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231F20"/>
              </w:rPr>
              <w:t>January 31,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231F20"/>
              </w:rPr>
              <w:t>February 1,</w:t>
            </w:r>
          </w:p>
        </w:tc>
        <w:tc>
          <w:tcPr>
            <w:tcW w:w="200" w:type="dxa"/>
            <w:vAlign w:val="bottom"/>
          </w:tcPr>
          <w:p>
            <w:pPr>
              <w:spacing w:after="0"/>
              <w:rPr>
                <w:sz w:val="16"/>
                <w:szCs w:val="16"/>
                <w:color w:val="auto"/>
              </w:rPr>
            </w:pPr>
          </w:p>
        </w:tc>
        <w:tc>
          <w:tcPr>
            <w:tcW w:w="920" w:type="dxa"/>
            <w:vAlign w:val="bottom"/>
          </w:tcPr>
          <w:p>
            <w:pPr>
              <w:jc w:val="right"/>
              <w:ind w:right="427"/>
              <w:spacing w:after="0"/>
              <w:rPr>
                <w:sz w:val="20"/>
                <w:szCs w:val="20"/>
                <w:color w:val="auto"/>
              </w:rPr>
            </w:pPr>
            <w:r>
              <w:rPr>
                <w:rFonts w:ascii="Times New Roman" w:cs="Times New Roman" w:eastAsia="Times New Roman" w:hAnsi="Times New Roman"/>
                <w:sz w:val="16"/>
                <w:szCs w:val="16"/>
                <w:b w:val="1"/>
                <w:bCs w:val="1"/>
                <w:color w:val="231F20"/>
              </w:rPr>
              <w:t>$</w:t>
            </w:r>
          </w:p>
        </w:tc>
        <w:tc>
          <w:tcPr>
            <w:tcW w:w="260" w:type="dxa"/>
            <w:vAlign w:val="bottom"/>
          </w:tcPr>
          <w:p>
            <w:pPr>
              <w:spacing w:after="0"/>
              <w:rPr>
                <w:sz w:val="16"/>
                <w:szCs w:val="16"/>
                <w:color w:val="auto"/>
              </w:rPr>
            </w:pPr>
          </w:p>
        </w:tc>
        <w:tc>
          <w:tcPr>
            <w:tcW w:w="60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231F20"/>
              </w:rPr>
              <w:t>%</w:t>
            </w:r>
          </w:p>
        </w:tc>
        <w:tc>
          <w:tcPr>
            <w:tcW w:w="300" w:type="dxa"/>
            <w:vAlign w:val="bottom"/>
          </w:tcPr>
          <w:p>
            <w:pPr>
              <w:spacing w:after="0"/>
              <w:rPr>
                <w:sz w:val="16"/>
                <w:szCs w:val="16"/>
                <w:color w:val="auto"/>
              </w:rPr>
            </w:pPr>
          </w:p>
        </w:tc>
      </w:tr>
      <w:tr>
        <w:trPr>
          <w:trHeight w:val="203"/>
        </w:trPr>
        <w:tc>
          <w:tcPr>
            <w:tcW w:w="382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16"/>
                <w:szCs w:val="16"/>
                <w:b w:val="1"/>
                <w:bCs w:val="1"/>
                <w:color w:val="231F20"/>
              </w:rPr>
              <w:t>(dollars in thousands)</w:t>
            </w:r>
          </w:p>
        </w:tc>
        <w:tc>
          <w:tcPr>
            <w:tcW w:w="2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20" w:type="dxa"/>
            <w:vAlign w:val="bottom"/>
            <w:tcBorders>
              <w:bottom w:val="single" w:sz="8" w:color="EAEBEC"/>
            </w:tcBorders>
          </w:tcPr>
          <w:p>
            <w:pPr>
              <w:spacing w:after="0"/>
              <w:rPr>
                <w:sz w:val="17"/>
                <w:szCs w:val="17"/>
                <w:color w:val="auto"/>
              </w:rPr>
            </w:pPr>
          </w:p>
        </w:tc>
        <w:tc>
          <w:tcPr>
            <w:tcW w:w="240" w:type="dxa"/>
            <w:vAlign w:val="bottom"/>
            <w:tcBorders>
              <w:bottom w:val="single" w:sz="8" w:color="EAEBEC"/>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429"/>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260" w:type="dxa"/>
            <w:vAlign w:val="bottom"/>
            <w:tcBorders>
              <w:bottom w:val="single" w:sz="8" w:color="EAEBEC"/>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207"/>
              <w:spacing w:after="0"/>
              <w:rPr>
                <w:sz w:val="20"/>
                <w:szCs w:val="20"/>
                <w:color w:val="auto"/>
              </w:rPr>
            </w:pPr>
            <w:r>
              <w:rPr>
                <w:rFonts w:ascii="Times New Roman" w:cs="Times New Roman" w:eastAsia="Times New Roman" w:hAnsi="Times New Roman"/>
                <w:sz w:val="16"/>
                <w:szCs w:val="16"/>
                <w:b w:val="1"/>
                <w:bCs w:val="1"/>
                <w:color w:val="231F20"/>
              </w:rPr>
              <w:t>Change</w:t>
            </w:r>
          </w:p>
        </w:tc>
        <w:tc>
          <w:tcPr>
            <w:tcW w:w="260" w:type="dxa"/>
            <w:vAlign w:val="bottom"/>
            <w:tcBorders>
              <w:bottom w:val="single" w:sz="8" w:color="EAEBEC"/>
            </w:tcBorders>
          </w:tcPr>
          <w:p>
            <w:pPr>
              <w:spacing w:after="0"/>
              <w:rPr>
                <w:sz w:val="17"/>
                <w:szCs w:val="17"/>
                <w:color w:val="auto"/>
              </w:rPr>
            </w:pPr>
          </w:p>
        </w:tc>
        <w:tc>
          <w:tcPr>
            <w:tcW w:w="6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Change</w:t>
            </w:r>
          </w:p>
        </w:tc>
        <w:tc>
          <w:tcPr>
            <w:tcW w:w="300" w:type="dxa"/>
            <w:vAlign w:val="bottom"/>
          </w:tcPr>
          <w:p>
            <w:pPr>
              <w:spacing w:after="0"/>
              <w:rPr>
                <w:sz w:val="17"/>
                <w:szCs w:val="17"/>
                <w:color w:val="auto"/>
              </w:rPr>
            </w:pPr>
          </w:p>
        </w:tc>
      </w:tr>
      <w:tr>
        <w:trPr>
          <w:trHeight w:val="264"/>
        </w:trPr>
        <w:tc>
          <w:tcPr>
            <w:tcW w:w="38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Consumables</w:t>
            </w:r>
          </w:p>
        </w:tc>
        <w:tc>
          <w:tcPr>
            <w:tcW w:w="18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2,968,321</w:t>
            </w:r>
          </w:p>
        </w:tc>
        <w:tc>
          <w:tcPr>
            <w:tcW w:w="20" w:type="dxa"/>
            <w:vAlign w:val="bottom"/>
            <w:shd w:val="clear" w:color="auto" w:fill="EAEBEC"/>
          </w:tcPr>
          <w:p>
            <w:pPr>
              <w:spacing w:after="0"/>
              <w:rPr>
                <w:sz w:val="22"/>
                <w:szCs w:val="22"/>
                <w:color w:val="auto"/>
              </w:rPr>
            </w:pPr>
          </w:p>
        </w:tc>
        <w:tc>
          <w:tcPr>
            <w:tcW w:w="240" w:type="dxa"/>
            <w:vAlign w:val="bottom"/>
            <w:shd w:val="clear" w:color="auto" w:fill="EAEBEC"/>
          </w:tcPr>
          <w:p>
            <w:pPr>
              <w:spacing w:after="0"/>
              <w:rPr>
                <w:sz w:val="22"/>
                <w:szCs w:val="22"/>
                <w:color w:val="auto"/>
              </w:rPr>
            </w:pPr>
          </w:p>
        </w:tc>
        <w:tc>
          <w:tcPr>
            <w:tcW w:w="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3,043,178</w:t>
            </w:r>
          </w:p>
        </w:tc>
        <w:tc>
          <w:tcPr>
            <w:tcW w:w="260" w:type="dxa"/>
            <w:vAlign w:val="bottom"/>
            <w:shd w:val="clear" w:color="auto" w:fill="EAEBEC"/>
          </w:tcPr>
          <w:p>
            <w:pPr>
              <w:spacing w:after="0"/>
              <w:rPr>
                <w:sz w:val="22"/>
                <w:szCs w:val="22"/>
                <w:color w:val="auto"/>
              </w:rPr>
            </w:pPr>
          </w:p>
        </w:tc>
        <w:tc>
          <w:tcPr>
            <w:tcW w:w="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(74,857)</w:t>
            </w:r>
          </w:p>
        </w:tc>
        <w:tc>
          <w:tcPr>
            <w:tcW w:w="260" w:type="dxa"/>
            <w:vAlign w:val="bottom"/>
            <w:shd w:val="clear" w:color="auto" w:fill="EAEBEC"/>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(2.5%)</w:t>
            </w: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231F20"/>
              </w:rPr>
              <w:t>Supplies and companion animals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1,968,002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2,073,713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(105,711)</w:t>
            </w:r>
          </w:p>
        </w:tc>
        <w:tc>
          <w:tcPr>
            <w:tcW w:w="2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(5.1%)</w:t>
            </w:r>
          </w:p>
        </w:tc>
      </w:tr>
      <w:tr>
        <w:trPr>
          <w:trHeight w:val="250"/>
        </w:trPr>
        <w:tc>
          <w:tcPr>
            <w:tcW w:w="38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Services and other</w:t>
            </w:r>
          </w:p>
        </w:tc>
        <w:tc>
          <w:tcPr>
            <w:tcW w:w="2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20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1,025,144</w:t>
            </w:r>
          </w:p>
        </w:tc>
        <w:tc>
          <w:tcPr>
            <w:tcW w:w="240" w:type="dxa"/>
            <w:vAlign w:val="bottom"/>
            <w:shd w:val="clear" w:color="auto" w:fill="EAEBEC"/>
          </w:tcPr>
          <w:p>
            <w:pPr>
              <w:spacing w:after="0"/>
              <w:rPr>
                <w:sz w:val="21"/>
                <w:szCs w:val="21"/>
                <w:color w:val="auto"/>
              </w:rPr>
            </w:pPr>
          </w:p>
        </w:tc>
        <w:tc>
          <w:tcPr>
            <w:tcW w:w="200" w:type="dxa"/>
            <w:vAlign w:val="bottom"/>
            <w:shd w:val="clear" w:color="auto" w:fill="EAEBEC"/>
          </w:tcPr>
          <w:p>
            <w:pPr>
              <w:spacing w:after="0"/>
              <w:rPr>
                <w:sz w:val="21"/>
                <w:szCs w:val="21"/>
                <w:color w:val="auto"/>
              </w:rPr>
            </w:pPr>
          </w:p>
        </w:tc>
        <w:tc>
          <w:tcPr>
            <w:tcW w:w="1440" w:type="dxa"/>
            <w:vAlign w:val="bottom"/>
            <w:gridSpan w:val="2"/>
            <w:shd w:val="clear" w:color="auto" w:fill="EAEBEC"/>
          </w:tcPr>
          <w:p>
            <w:pPr>
              <w:jc w:val="right"/>
              <w:ind w:right="260"/>
              <w:spacing w:after="0"/>
              <w:rPr>
                <w:sz w:val="20"/>
                <w:szCs w:val="20"/>
                <w:color w:val="auto"/>
              </w:rPr>
            </w:pPr>
            <w:r>
              <w:rPr>
                <w:rFonts w:ascii="Times New Roman" w:cs="Times New Roman" w:eastAsia="Times New Roman" w:hAnsi="Times New Roman"/>
                <w:sz w:val="20"/>
                <w:szCs w:val="20"/>
                <w:color w:val="231F20"/>
              </w:rPr>
              <w:t>999,571</w:t>
            </w:r>
          </w:p>
        </w:tc>
        <w:tc>
          <w:tcPr>
            <w:tcW w:w="200" w:type="dxa"/>
            <w:vAlign w:val="bottom"/>
            <w:shd w:val="clear" w:color="auto" w:fill="EAEBEC"/>
          </w:tcPr>
          <w:p>
            <w:pPr>
              <w:spacing w:after="0"/>
              <w:rPr>
                <w:sz w:val="21"/>
                <w:szCs w:val="21"/>
                <w:color w:val="auto"/>
              </w:rPr>
            </w:pPr>
          </w:p>
        </w:tc>
        <w:tc>
          <w:tcPr>
            <w:tcW w:w="118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25,573</w:t>
            </w:r>
          </w:p>
        </w:tc>
        <w:tc>
          <w:tcPr>
            <w:tcW w:w="900" w:type="dxa"/>
            <w:vAlign w:val="bottom"/>
            <w:gridSpan w:val="2"/>
            <w:shd w:val="clear" w:color="auto" w:fill="EAEBEC"/>
          </w:tcPr>
          <w:p>
            <w:pPr>
              <w:jc w:val="right"/>
              <w:ind w:right="120"/>
              <w:spacing w:after="0"/>
              <w:rPr>
                <w:sz w:val="20"/>
                <w:szCs w:val="20"/>
                <w:color w:val="auto"/>
              </w:rPr>
            </w:pPr>
            <w:r>
              <w:rPr>
                <w:rFonts w:ascii="Times New Roman" w:cs="Times New Roman" w:eastAsia="Times New Roman" w:hAnsi="Times New Roman"/>
                <w:sz w:val="20"/>
                <w:szCs w:val="20"/>
                <w:color w:val="231F20"/>
              </w:rPr>
              <w:t>2.6%</w:t>
            </w:r>
          </w:p>
        </w:tc>
      </w:tr>
      <w:tr>
        <w:trPr>
          <w:trHeight w:val="205"/>
        </w:trPr>
        <w:tc>
          <w:tcPr>
            <w:tcW w:w="3820" w:type="dxa"/>
            <w:vAlign w:val="bottom"/>
            <w:tcBorders>
              <w:top w:val="single" w:sz="8" w:color="EAEBEC"/>
            </w:tcBorders>
          </w:tcPr>
          <w:p>
            <w:pPr>
              <w:spacing w:after="0" w:line="205" w:lineRule="exact"/>
              <w:rPr>
                <w:sz w:val="20"/>
                <w:szCs w:val="20"/>
                <w:color w:val="auto"/>
              </w:rPr>
            </w:pPr>
            <w:r>
              <w:rPr>
                <w:rFonts w:ascii="Times New Roman" w:cs="Times New Roman" w:eastAsia="Times New Roman" w:hAnsi="Times New Roman"/>
                <w:sz w:val="20"/>
                <w:szCs w:val="20"/>
                <w:color w:val="231F20"/>
              </w:rPr>
              <w:t>Net sales</w:t>
            </w:r>
          </w:p>
        </w:tc>
        <w:tc>
          <w:tcPr>
            <w:tcW w:w="20" w:type="dxa"/>
            <w:vAlign w:val="bottom"/>
            <w:tcBorders>
              <w:top w:val="single" w:sz="8" w:color="EAEBEC"/>
            </w:tcBorders>
          </w:tcPr>
          <w:p>
            <w:pPr>
              <w:spacing w:after="0"/>
              <w:rPr>
                <w:sz w:val="17"/>
                <w:szCs w:val="17"/>
                <w:color w:val="auto"/>
              </w:rPr>
            </w:pPr>
          </w:p>
        </w:tc>
        <w:tc>
          <w:tcPr>
            <w:tcW w:w="1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80" w:type="dxa"/>
            <w:vAlign w:val="bottom"/>
            <w:tcBorders>
              <w:top w:val="single" w:sz="8" w:color="231F20"/>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5,961,467</w:t>
            </w:r>
          </w:p>
        </w:tc>
        <w:tc>
          <w:tcPr>
            <w:tcW w:w="20" w:type="dxa"/>
            <w:vAlign w:val="bottom"/>
            <w:tcBorders>
              <w:top w:val="single" w:sz="8" w:color="EAEBEC"/>
            </w:tcBorders>
          </w:tcPr>
          <w:p>
            <w:pPr>
              <w:spacing w:after="0"/>
              <w:rPr>
                <w:sz w:val="17"/>
                <w:szCs w:val="17"/>
                <w:color w:val="auto"/>
              </w:rPr>
            </w:pPr>
          </w:p>
        </w:tc>
        <w:tc>
          <w:tcPr>
            <w:tcW w:w="240" w:type="dxa"/>
            <w:vAlign w:val="bottom"/>
            <w:tcBorders>
              <w:top w:val="single" w:sz="8" w:color="EAEBEC"/>
            </w:tcBorders>
          </w:tcPr>
          <w:p>
            <w:pPr>
              <w:spacing w:after="0"/>
              <w:rPr>
                <w:sz w:val="17"/>
                <w:szCs w:val="17"/>
                <w:color w:val="auto"/>
              </w:rPr>
            </w:pPr>
          </w:p>
        </w:tc>
        <w:tc>
          <w:tcPr>
            <w:tcW w:w="200" w:type="dxa"/>
            <w:vAlign w:val="bottom"/>
            <w:tcBorders>
              <w:top w:val="single" w:sz="8" w:color="231F20"/>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Borders>
              <w:top w:val="single" w:sz="8" w:color="231F20"/>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6,116,462</w:t>
            </w:r>
          </w:p>
        </w:tc>
        <w:tc>
          <w:tcPr>
            <w:tcW w:w="260" w:type="dxa"/>
            <w:vAlign w:val="bottom"/>
            <w:tcBorders>
              <w:top w:val="single" w:sz="8" w:color="EAEBEC"/>
            </w:tcBorders>
          </w:tcPr>
          <w:p>
            <w:pPr>
              <w:spacing w:after="0"/>
              <w:rPr>
                <w:sz w:val="17"/>
                <w:szCs w:val="17"/>
                <w:color w:val="auto"/>
              </w:rPr>
            </w:pPr>
          </w:p>
        </w:tc>
        <w:tc>
          <w:tcPr>
            <w:tcW w:w="200" w:type="dxa"/>
            <w:vAlign w:val="bottom"/>
            <w:tcBorders>
              <w:top w:val="single" w:sz="8" w:color="231F20"/>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bottom w:val="single" w:sz="8" w:color="231F20"/>
            </w:tcBorders>
          </w:tcPr>
          <w:p>
            <w:pPr>
              <w:jc w:val="right"/>
              <w:spacing w:after="0" w:line="205" w:lineRule="exact"/>
              <w:rPr>
                <w:sz w:val="20"/>
                <w:szCs w:val="20"/>
                <w:color w:val="auto"/>
              </w:rPr>
            </w:pPr>
            <w:r>
              <w:rPr>
                <w:rFonts w:ascii="Times New Roman" w:cs="Times New Roman" w:eastAsia="Times New Roman" w:hAnsi="Times New Roman"/>
                <w:sz w:val="20"/>
                <w:szCs w:val="20"/>
                <w:color w:val="231F20"/>
              </w:rPr>
              <w:t>(154,995</w:t>
            </w:r>
          </w:p>
        </w:tc>
        <w:tc>
          <w:tcPr>
            <w:tcW w:w="260" w:type="dxa"/>
            <w:vAlign w:val="bottom"/>
            <w:tcBorders>
              <w:top w:val="single" w:sz="8" w:color="EAEBEC"/>
            </w:tcBorders>
          </w:tcPr>
          <w:p>
            <w:pPr>
              <w:jc w:val="right"/>
              <w:ind w:right="120"/>
              <w:spacing w:after="0"/>
              <w:rPr>
                <w:sz w:val="20"/>
                <w:szCs w:val="20"/>
                <w:color w:val="auto"/>
              </w:rPr>
            </w:pPr>
            <w:r>
              <w:rPr>
                <w:rFonts w:ascii="Times New Roman" w:cs="Times New Roman" w:eastAsia="Times New Roman" w:hAnsi="Times New Roman"/>
                <w:sz w:val="16"/>
                <w:szCs w:val="16"/>
                <w:color w:val="231F20"/>
                <w:w w:val="74"/>
              </w:rPr>
              <w:t>)</w:t>
            </w:r>
          </w:p>
        </w:tc>
        <w:tc>
          <w:tcPr>
            <w:tcW w:w="900" w:type="dxa"/>
            <w:vAlign w:val="bottom"/>
            <w:tcBorders>
              <w:top w:val="single" w:sz="8" w:color="EAEBEC"/>
            </w:tcBorders>
            <w:gridSpan w:val="2"/>
          </w:tcPr>
          <w:p>
            <w:pPr>
              <w:jc w:val="right"/>
              <w:ind w:right="60"/>
              <w:spacing w:after="0" w:line="205" w:lineRule="exact"/>
              <w:rPr>
                <w:sz w:val="20"/>
                <w:szCs w:val="20"/>
                <w:color w:val="auto"/>
              </w:rPr>
            </w:pPr>
            <w:r>
              <w:rPr>
                <w:rFonts w:ascii="Times New Roman" w:cs="Times New Roman" w:eastAsia="Times New Roman" w:hAnsi="Times New Roman"/>
                <w:sz w:val="20"/>
                <w:szCs w:val="20"/>
                <w:color w:val="231F20"/>
              </w:rPr>
              <w:t>(2.5%)</w:t>
            </w:r>
          </w:p>
        </w:tc>
      </w:tr>
      <w:tr>
        <w:trPr>
          <w:trHeight w:val="20"/>
        </w:trPr>
        <w:tc>
          <w:tcPr>
            <w:tcW w:w="38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5370830</wp:posOffset>
                </wp:positionH>
                <wp:positionV relativeFrom="paragraph">
                  <wp:posOffset>-646430</wp:posOffset>
                </wp:positionV>
                <wp:extent cx="387985" cy="17081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7985" cy="170815"/>
                        </a:xfrm>
                        <a:prstGeom prst="rect">
                          <a:avLst/>
                        </a:prstGeom>
                        <a:solidFill>
                          <a:srgbClr val="EAEBEC"/>
                        </a:solidFill>
                      </wps:spPr>
                      <wps:bodyPr/>
                    </wps:wsp>
                  </a:graphicData>
                </a:graphic>
              </wp:anchor>
            </w:drawing>
          </mc:Choice>
          <mc:Fallback>
            <w:pict>
              <v:rect id="Shape 30" o:spid="_x0000_s1055" style="position:absolute;margin-left:422.9pt;margin-top:-50.8999pt;width:30.55pt;height:1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w:drawing>
          <wp:anchor simplePos="0" relativeHeight="251657728" behindDoc="1" locked="0" layoutInCell="0" allowOverlap="1">
            <wp:simplePos x="0" y="0"/>
            <wp:positionH relativeFrom="column">
              <wp:posOffset>2406650</wp:posOffset>
            </wp:positionH>
            <wp:positionV relativeFrom="paragraph">
              <wp:posOffset>-913130</wp:posOffset>
            </wp:positionV>
            <wp:extent cx="337121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extLst>
                    </a:blip>
                    <a:srcRect/>
                    <a:stretch>
                      <a:fillRect/>
                    </a:stretch>
                  </pic:blipFill>
                  <pic:spPr bwMode="auto">
                    <a:xfrm>
                      <a:off x="0" y="0"/>
                      <a:ext cx="3371215" cy="38100"/>
                    </a:xfrm>
                    <a:prstGeom prst="rect">
                      <a:avLst/>
                    </a:prstGeom>
                    <a:noFill/>
                  </pic:spPr>
                </pic:pic>
              </a:graphicData>
            </a:graphic>
          </wp:anchor>
        </w:drawing>
      </w:r>
    </w:p>
    <w:p>
      <w:pPr>
        <w:spacing w:after="0" w:line="357"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231F20"/>
        </w:rPr>
        <w:t>Net sales decreased $155.0 million, or 2.5%, to $5.96 billion in fiscal 2025 compared to net sales of $6.12 billion in fiscal 2024. The sales decrease primarily reflects lower transaction volume and a lower pet care center count, as well as a greater focus on profitability and margin through a more disciplined approach to managing unit costs, pricing, and promotional strategies. We continue to experience momentum in services, driven in part by our strategic investments in customer acquisition and retention, as well as efforts to optimize our existing veterinary hospital footprint.</w:t>
      </w:r>
    </w:p>
    <w:p>
      <w:pPr>
        <w:sectPr>
          <w:pgSz w:w="11880" w:h="15480" w:orient="portrait"/>
          <w:cols w:equalWidth="0" w:num="1">
            <w:col w:w="9360"/>
          </w:cols>
          <w:pgMar w:left="1260" w:top="1170" w:right="126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9360"/>
          </w:cols>
          <w:pgMar w:left="1260" w:top="1170" w:right="1260" w:bottom="0" w:gutter="0" w:footer="0" w:header="0"/>
          <w:type w:val="continuous"/>
        </w:sectPr>
      </w:pPr>
    </w:p>
    <w:bookmarkStart w:id="61" w:name="page62"/>
    <w:bookmarkEnd w:id="61"/>
    <w:p>
      <w:pPr>
        <w:ind w:right="120" w:firstLine="490"/>
        <w:spacing w:after="0" w:line="277" w:lineRule="auto"/>
        <w:rPr>
          <w:sz w:val="20"/>
          <w:szCs w:val="20"/>
          <w:color w:val="auto"/>
        </w:rPr>
      </w:pPr>
      <w:r>
        <w:rPr>
          <w:rFonts w:ascii="Times New Roman" w:cs="Times New Roman" w:eastAsia="Times New Roman" w:hAnsi="Times New Roman"/>
          <w:sz w:val="20"/>
          <w:szCs w:val="20"/>
          <w:color w:val="231F20"/>
        </w:rPr>
        <w:t>We are unable to quantify certain factors impacting sales described above due to the fact that such factors are based on input measures or qualitative information that do not lend themselves to quantification.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Gross Profit</w:t>
      </w:r>
    </w:p>
    <w:p>
      <w:pPr>
        <w:spacing w:after="0" w:line="116"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As a percentage of net sales, our gross profit rate was 38.7% for fiscal 2025 compared to 38.0% for fiscal 2024. The increase between the periods reflects more effective management of our inventory, unit costs, pricing, and promotional strategies, as well as improved utilization of our services footprint. We are unable to quantify the factors impacting gross profit rate described above due to the fact that such factors are based on input measures or qualitative information that do not lend themselves to quantification.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Selling, General and Administrative Expenses</w:t>
      </w:r>
    </w:p>
    <w:p>
      <w:pPr>
        <w:spacing w:after="0" w:line="116" w:lineRule="exact"/>
        <w:rPr>
          <w:sz w:val="20"/>
          <w:szCs w:val="20"/>
          <w:color w:val="auto"/>
        </w:rPr>
      </w:pPr>
    </w:p>
    <w:p>
      <w:pPr>
        <w:jc w:val="both"/>
        <w:ind w:right="280" w:firstLine="490"/>
        <w:spacing w:after="0" w:line="249" w:lineRule="auto"/>
        <w:rPr>
          <w:sz w:val="20"/>
          <w:szCs w:val="20"/>
          <w:color w:val="auto"/>
        </w:rPr>
      </w:pPr>
      <w:r>
        <w:rPr>
          <w:rFonts w:ascii="Times New Roman" w:cs="Times New Roman" w:eastAsia="Times New Roman" w:hAnsi="Times New Roman"/>
          <w:sz w:val="20"/>
          <w:szCs w:val="20"/>
          <w:color w:val="231F20"/>
        </w:rPr>
        <w:t>As a percentage of net sales, SG&amp;A expenses decreased from 37.9% in fiscal 2024 to 36.6% in fiscal 2025. The decrease in SG&amp;A expenses between the periods was primarily due to lower payroll and other compensation costs, which included improved actuarial results from employee benefits optimization initiatives, as well as lower consulting costs. In addition, the Company incurred disposition costs relating to its Pupbox business during fiscal 2024.</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Interest Expense</w:t>
      </w:r>
    </w:p>
    <w:p>
      <w:pPr>
        <w:spacing w:after="0" w:line="120"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231F20"/>
        </w:rPr>
        <w:t>Interest expense decreased $12.3 million, or 8.6%, to $131.2 million in fiscal 2025 compared with $143.5 million in fiscal 2024. The decrease was primarily driven by lower interest rates on the First Lien Term Loan. For more information refer to Note 7, “Senior Secured Credit Facilities,” in the Notes to Consolidated Financial Statements included in Part II, Item 8 of this Annual Report on Form 10-K.</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Loss on Extinguishment and Modification of Debt</w:t>
      </w:r>
    </w:p>
    <w:p>
      <w:pPr>
        <w:spacing w:after="0" w:line="24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In fiscal 2025, the Company recognized $0.6 million of losses on partial extinguishment of debt. This loss was recognized in conjunction with voluntary principal repayments on the First Lien Term Loan during fiscal 2025. The Company did not recognize any losses on extinguishment or modification of debt in fiscal 2024. For more information refer to Note 7, “Senior Secured Credit Facilities,” in the Notes to Consolidated Financial Statements included in Part II, Item 8 of this Annual Report on Form 10-K.</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Non-Operating Income</w:t>
      </w:r>
    </w:p>
    <w:p>
      <w:pPr>
        <w:spacing w:after="0" w:line="24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There was no other non-operating income or loss recognized during fiscal 2025. Other non-operating income was $4.8 million for fiscal 2024, and was primarily related to remeasurements of an equity investment without a readily determinable fair value. For more information refer to Note 9, “Fair Value Measurements,” to the Notes to Consolidated Financial Statements included in Part II, Item 8 of this Annual Report on Form 10-K.</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 Expense (Benefit)</w:t>
      </w:r>
    </w:p>
    <w:p>
      <w:pPr>
        <w:spacing w:after="0" w:line="12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Our effective tax rate was 40.9% for fiscal 2025, resulting in income tax expense of $6.3 million, compared to an effective tax rate of 6.8% resulting in income tax benefit of $7.5 million for fiscal 2024. The increase in effective tax rate in fiscal 2025 as compared to fiscal 2024 is primarily driven by an increase in earnings and a decrease in the amount of compensation associated expenses not expected to be deductible for corporate income tax purposes in fiscal 2025.</w:t>
      </w:r>
    </w:p>
    <w:p>
      <w:pPr>
        <w:spacing w:after="0" w:line="197" w:lineRule="exact"/>
        <w:rPr>
          <w:sz w:val="20"/>
          <w:szCs w:val="20"/>
          <w:color w:val="auto"/>
        </w:rPr>
      </w:pPr>
    </w:p>
    <w:p>
      <w:pPr>
        <w:ind w:right="240" w:firstLine="490"/>
        <w:spacing w:after="0" w:line="247" w:lineRule="auto"/>
        <w:rPr>
          <w:sz w:val="20"/>
          <w:szCs w:val="20"/>
          <w:color w:val="auto"/>
        </w:rPr>
      </w:pPr>
      <w:r>
        <w:rPr>
          <w:rFonts w:ascii="Times New Roman" w:cs="Times New Roman" w:eastAsia="Times New Roman" w:hAnsi="Times New Roman"/>
          <w:sz w:val="20"/>
          <w:szCs w:val="20"/>
          <w:color w:val="231F20"/>
        </w:rPr>
        <w:t>On July 4, 2025, the One Big Beautiful Bill Act (“OBBBA”) was signed into law. OBBBA introduces significant changes to U.S. income-tax legislation. Key provisions affecting the Company include (i) 100 percent bonus depreciation for qualified property placed in service after January 19, 2025, (ii) immediate expensing of domestic research and experimental expenditures starting January 1, 2025, and (iii) an increase to the cap on the deductibility of business interest expense for taxable years starting after December 31, 2024. These provisions did not have a material impact to income taxes in our financial statements for fiscal 2025.</w:t>
      </w:r>
    </w:p>
    <w:p>
      <w:pPr>
        <w:sectPr>
          <w:pgSz w:w="11880" w:h="15480" w:orient="portrait"/>
          <w:cols w:equalWidth="0" w:num="1">
            <w:col w:w="9360"/>
          </w:cols>
          <w:pgMar w:left="1260" w:top="88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9360"/>
          </w:cols>
          <w:pgMar w:left="1260" w:top="880" w:right="1260" w:bottom="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231F20"/>
        </w:rPr>
        <w:t>Prior Year Discussion of Results and Comparisons</w:t>
      </w:r>
    </w:p>
    <w:p>
      <w:pPr>
        <w:spacing w:after="0" w:line="124"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For information on fiscal 2024 results and similar comparisons, please read “Management’s Discussion and Analysis of Financial Condition and Results of Operations” in our previous Annual Report on Form 10-K filed with the SEC on March 31, 2025.</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Reconciliation of Non-GAAP Financial Measures to GAAP Measures</w:t>
      </w:r>
    </w:p>
    <w:p>
      <w:pPr>
        <w:spacing w:after="0" w:line="12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Adjusted EBITDA</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192" w:lineRule="exact"/>
        <w:rPr>
          <w:sz w:val="20"/>
          <w:szCs w:val="20"/>
          <w:color w:val="auto"/>
        </w:rPr>
      </w:pPr>
    </w:p>
    <w:p>
      <w:pPr>
        <w:ind w:right="220" w:firstLine="540"/>
        <w:spacing w:after="0" w:line="249" w:lineRule="auto"/>
        <w:rPr>
          <w:sz w:val="20"/>
          <w:szCs w:val="20"/>
          <w:color w:val="auto"/>
        </w:rPr>
      </w:pPr>
      <w:r>
        <w:rPr>
          <w:rFonts w:ascii="Times New Roman" w:cs="Times New Roman" w:eastAsia="Times New Roman" w:hAnsi="Times New Roman"/>
          <w:sz w:val="20"/>
          <w:szCs w:val="20"/>
          <w:color w:val="231F20"/>
        </w:rPr>
        <w:t>Adjusted EBITDA is not a substitute for net income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w:t>
      </w:r>
    </w:p>
    <w:p>
      <w:pPr>
        <w:spacing w:after="0" w:line="197"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231F20"/>
        </w:rPr>
        <w:t>The table below reflects the calculation of Adjusted EBITDA and Adjusted EBITDA Margin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rPr>
              <w:t>Fiscal years ended</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231F20"/>
              </w:rPr>
              <w:t>January 31,</w:t>
            </w:r>
          </w:p>
        </w:tc>
        <w:tc>
          <w:tcPr>
            <w:tcW w:w="140" w:type="dxa"/>
            <w:vAlign w:val="bottom"/>
          </w:tcPr>
          <w:p>
            <w:pPr>
              <w:spacing w:after="0"/>
              <w:rPr>
                <w:sz w:val="16"/>
                <w:szCs w:val="16"/>
                <w:color w:val="auto"/>
              </w:rPr>
            </w:pPr>
          </w:p>
        </w:tc>
        <w:tc>
          <w:tcPr>
            <w:tcW w:w="138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c>
          <w:tcPr>
            <w:tcW w:w="12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231F20"/>
                <w:w w:val="98"/>
              </w:rPr>
              <w:t>February 3,</w:t>
            </w:r>
          </w:p>
        </w:tc>
        <w:tc>
          <w:tcPr>
            <w:tcW w:w="0" w:type="dxa"/>
            <w:vAlign w:val="bottom"/>
          </w:tcPr>
          <w:p>
            <w:pPr>
              <w:spacing w:after="0"/>
              <w:rPr>
                <w:sz w:val="1"/>
                <w:szCs w:val="1"/>
                <w:color w:val="auto"/>
              </w:rPr>
            </w:pPr>
          </w:p>
        </w:tc>
      </w:tr>
      <w:tr>
        <w:trPr>
          <w:trHeight w:val="203"/>
        </w:trPr>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(dollars in thousands)</w:t>
            </w:r>
          </w:p>
        </w:tc>
        <w:tc>
          <w:tcPr>
            <w:tcW w:w="36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center"/>
              <w:ind w:right="3"/>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40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23"/>
              <w:spacing w:after="0"/>
              <w:rPr>
                <w:sz w:val="20"/>
                <w:szCs w:val="20"/>
                <w:color w:val="auto"/>
              </w:rPr>
            </w:pPr>
            <w:r>
              <w:rPr>
                <w:rFonts w:ascii="Times New Roman" w:cs="Times New Roman" w:eastAsia="Times New Roman" w:hAnsi="Times New Roman"/>
                <w:sz w:val="16"/>
                <w:szCs w:val="16"/>
                <w:b w:val="1"/>
                <w:bCs w:val="1"/>
                <w:color w:val="231F20"/>
                <w:w w:val="97"/>
              </w:rPr>
              <w:t>(52 weeks)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231F20"/>
              </w:rPr>
              <w:t>(53 weeks)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EAEBEC"/>
          </w:tcPr>
          <w:p>
            <w:pPr>
              <w:ind w:left="200"/>
              <w:spacing w:after="0" w:line="221" w:lineRule="exact"/>
              <w:rPr>
                <w:sz w:val="20"/>
                <w:szCs w:val="20"/>
                <w:color w:val="auto"/>
              </w:rPr>
            </w:pPr>
            <w:r>
              <w:rPr>
                <w:rFonts w:ascii="Times New Roman" w:cs="Times New Roman" w:eastAsia="Times New Roman" w:hAnsi="Times New Roman"/>
                <w:sz w:val="20"/>
                <w:szCs w:val="20"/>
                <w:b w:val="1"/>
                <w:bCs w:val="1"/>
                <w:color w:val="231F20"/>
              </w:rPr>
              <w:t>Net income (loss) attributable to Class A and B-1</w:t>
            </w:r>
          </w:p>
        </w:tc>
        <w:tc>
          <w:tcPr>
            <w:tcW w:w="360" w:type="dxa"/>
            <w:vAlign w:val="bottom"/>
            <w:shd w:val="clear" w:color="auto" w:fill="EAEBEC"/>
          </w:tcPr>
          <w:p>
            <w:pPr>
              <w:spacing w:after="0"/>
              <w:rPr>
                <w:sz w:val="19"/>
                <w:szCs w:val="19"/>
                <w:color w:val="auto"/>
              </w:rPr>
            </w:pPr>
          </w:p>
        </w:tc>
        <w:tc>
          <w:tcPr>
            <w:tcW w:w="100" w:type="dxa"/>
            <w:vAlign w:val="bottom"/>
            <w:shd w:val="clear" w:color="auto" w:fill="EAEBEC"/>
          </w:tcPr>
          <w:p>
            <w:pPr>
              <w:spacing w:after="0"/>
              <w:rPr>
                <w:sz w:val="19"/>
                <w:szCs w:val="19"/>
                <w:color w:val="auto"/>
              </w:rPr>
            </w:pPr>
          </w:p>
        </w:tc>
        <w:tc>
          <w:tcPr>
            <w:tcW w:w="940" w:type="dxa"/>
            <w:vAlign w:val="bottom"/>
            <w:shd w:val="clear" w:color="auto" w:fill="EAEBEC"/>
          </w:tcPr>
          <w:p>
            <w:pPr>
              <w:spacing w:after="0"/>
              <w:rPr>
                <w:sz w:val="19"/>
                <w:szCs w:val="19"/>
                <w:color w:val="auto"/>
              </w:rPr>
            </w:pPr>
          </w:p>
        </w:tc>
        <w:tc>
          <w:tcPr>
            <w:tcW w:w="180" w:type="dxa"/>
            <w:vAlign w:val="bottom"/>
            <w:shd w:val="clear" w:color="auto" w:fill="EAEBEC"/>
          </w:tcPr>
          <w:p>
            <w:pPr>
              <w:spacing w:after="0"/>
              <w:rPr>
                <w:sz w:val="19"/>
                <w:szCs w:val="19"/>
                <w:color w:val="auto"/>
              </w:rPr>
            </w:pPr>
          </w:p>
        </w:tc>
        <w:tc>
          <w:tcPr>
            <w:tcW w:w="140" w:type="dxa"/>
            <w:vAlign w:val="bottom"/>
            <w:shd w:val="clear" w:color="auto" w:fill="EAEBEC"/>
          </w:tcPr>
          <w:p>
            <w:pPr>
              <w:spacing w:after="0"/>
              <w:rPr>
                <w:sz w:val="19"/>
                <w:szCs w:val="19"/>
                <w:color w:val="auto"/>
              </w:rPr>
            </w:pPr>
          </w:p>
        </w:tc>
        <w:tc>
          <w:tcPr>
            <w:tcW w:w="120" w:type="dxa"/>
            <w:vAlign w:val="bottom"/>
            <w:shd w:val="clear" w:color="auto" w:fill="EAEBEC"/>
          </w:tcPr>
          <w:p>
            <w:pPr>
              <w:spacing w:after="0"/>
              <w:rPr>
                <w:sz w:val="19"/>
                <w:szCs w:val="19"/>
                <w:color w:val="auto"/>
              </w:rPr>
            </w:pPr>
          </w:p>
        </w:tc>
        <w:tc>
          <w:tcPr>
            <w:tcW w:w="860" w:type="dxa"/>
            <w:vAlign w:val="bottom"/>
            <w:shd w:val="clear" w:color="auto" w:fill="EAEBEC"/>
          </w:tcPr>
          <w:p>
            <w:pPr>
              <w:spacing w:after="0"/>
              <w:rPr>
                <w:sz w:val="19"/>
                <w:szCs w:val="19"/>
                <w:color w:val="auto"/>
              </w:rPr>
            </w:pPr>
          </w:p>
        </w:tc>
        <w:tc>
          <w:tcPr>
            <w:tcW w:w="400" w:type="dxa"/>
            <w:vAlign w:val="bottom"/>
            <w:shd w:val="clear" w:color="auto" w:fill="EAEBEC"/>
          </w:tcPr>
          <w:p>
            <w:pPr>
              <w:spacing w:after="0"/>
              <w:rPr>
                <w:sz w:val="19"/>
                <w:szCs w:val="19"/>
                <w:color w:val="auto"/>
              </w:rPr>
            </w:pPr>
          </w:p>
        </w:tc>
        <w:tc>
          <w:tcPr>
            <w:tcW w:w="120" w:type="dxa"/>
            <w:vAlign w:val="bottom"/>
            <w:shd w:val="clear" w:color="auto" w:fill="EAEBEC"/>
          </w:tcPr>
          <w:p>
            <w:pPr>
              <w:spacing w:after="0"/>
              <w:rPr>
                <w:sz w:val="19"/>
                <w:szCs w:val="19"/>
                <w:color w:val="auto"/>
              </w:rPr>
            </w:pPr>
          </w:p>
        </w:tc>
        <w:tc>
          <w:tcPr>
            <w:tcW w:w="860" w:type="dxa"/>
            <w:vAlign w:val="bottom"/>
            <w:shd w:val="clear" w:color="auto" w:fill="EAEBEC"/>
          </w:tcPr>
          <w:p>
            <w:pPr>
              <w:jc w:val="right"/>
              <w:spacing w:after="0" w:line="221" w:lineRule="exact"/>
              <w:rPr>
                <w:sz w:val="20"/>
                <w:szCs w:val="20"/>
                <w:color w:val="auto"/>
              </w:rPr>
            </w:pPr>
            <w:r>
              <w:rPr>
                <w:rFonts w:ascii="Times New Roman" w:cs="Times New Roman" w:eastAsia="Times New Roman" w:hAnsi="Times New Roman"/>
                <w:sz w:val="20"/>
                <w:szCs w:val="20"/>
                <w:color w:val="231F20"/>
              </w:rPr>
              <w:t>(1,280,21</w:t>
            </w:r>
          </w:p>
        </w:tc>
        <w:tc>
          <w:tcPr>
            <w:tcW w:w="280" w:type="dxa"/>
            <w:vAlign w:val="bottom"/>
            <w:shd w:val="clear" w:color="auto" w:fill="EAEBEC"/>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000" w:type="dxa"/>
            <w:vAlign w:val="bottom"/>
            <w:shd w:val="clear" w:color="auto" w:fill="EAEBEC"/>
          </w:tcPr>
          <w:p>
            <w:pPr>
              <w:ind w:left="300"/>
              <w:spacing w:after="0"/>
              <w:rPr>
                <w:sz w:val="20"/>
                <w:szCs w:val="20"/>
                <w:color w:val="auto"/>
              </w:rPr>
            </w:pPr>
            <w:r>
              <w:rPr>
                <w:rFonts w:ascii="Times New Roman" w:cs="Times New Roman" w:eastAsia="Times New Roman" w:hAnsi="Times New Roman"/>
                <w:sz w:val="20"/>
                <w:szCs w:val="20"/>
                <w:b w:val="1"/>
                <w:bCs w:val="1"/>
                <w:color w:val="231F20"/>
              </w:rPr>
              <w:t>common stockholders</w:t>
            </w:r>
          </w:p>
        </w:tc>
        <w:tc>
          <w:tcPr>
            <w:tcW w:w="4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9,066</w:t>
            </w:r>
          </w:p>
        </w:tc>
        <w:tc>
          <w:tcPr>
            <w:tcW w:w="180" w:type="dxa"/>
            <w:vAlign w:val="bottom"/>
            <w:shd w:val="clear" w:color="auto" w:fill="EAEBEC"/>
          </w:tcPr>
          <w:p>
            <w:pPr>
              <w:spacing w:after="0"/>
              <w:rPr>
                <w:sz w:val="22"/>
                <w:szCs w:val="22"/>
                <w:color w:val="auto"/>
              </w:rPr>
            </w:pPr>
          </w:p>
        </w:tc>
        <w:tc>
          <w:tcPr>
            <w:tcW w:w="2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60" w:type="dxa"/>
            <w:vAlign w:val="bottom"/>
            <w:gridSpan w:val="2"/>
            <w:shd w:val="clear" w:color="auto" w:fill="EAEBEC"/>
          </w:tcPr>
          <w:p>
            <w:pPr>
              <w:jc w:val="right"/>
              <w:ind w:right="340"/>
              <w:spacing w:after="0"/>
              <w:rPr>
                <w:sz w:val="20"/>
                <w:szCs w:val="20"/>
                <w:color w:val="auto"/>
              </w:rPr>
            </w:pPr>
            <w:r>
              <w:rPr>
                <w:rFonts w:ascii="Times New Roman" w:cs="Times New Roman" w:eastAsia="Times New Roman" w:hAnsi="Times New Roman"/>
                <w:sz w:val="20"/>
                <w:szCs w:val="20"/>
                <w:color w:val="231F20"/>
              </w:rPr>
              <w:t>(101,816)</w:t>
            </w: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40" w:type="dxa"/>
            <w:vAlign w:val="bottom"/>
            <w:gridSpan w:val="2"/>
            <w:shd w:val="clear" w:color="auto" w:fill="EAEBEC"/>
          </w:tcPr>
          <w:p>
            <w:pPr>
              <w:jc w:val="right"/>
              <w:ind w:right="220"/>
              <w:spacing w:after="0"/>
              <w:rPr>
                <w:sz w:val="20"/>
                <w:szCs w:val="20"/>
                <w:color w:val="auto"/>
              </w:rPr>
            </w:pPr>
            <w:r>
              <w:rPr>
                <w:rFonts w:ascii="Times New Roman" w:cs="Times New Roman" w:eastAsia="Times New Roman" w:hAnsi="Times New Roman"/>
                <w:sz w:val="20"/>
                <w:szCs w:val="20"/>
                <w:color w:val="231F20"/>
              </w:rPr>
              <w:t>0)</w:t>
            </w:r>
          </w:p>
        </w:tc>
        <w:tc>
          <w:tcPr>
            <w:tcW w:w="0" w:type="dxa"/>
            <w:vAlign w:val="bottom"/>
          </w:tcPr>
          <w:p>
            <w:pPr>
              <w:spacing w:after="0"/>
              <w:rPr>
                <w:sz w:val="1"/>
                <w:szCs w:val="1"/>
                <w:color w:val="auto"/>
              </w:rPr>
            </w:pPr>
          </w:p>
        </w:tc>
      </w:tr>
      <w:tr>
        <w:trPr>
          <w:trHeight w:val="244"/>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expense, net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124,894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139,817</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147,504</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Income tax expense (benefit)</w:t>
            </w:r>
          </w:p>
        </w:tc>
        <w:tc>
          <w:tcPr>
            <w:tcW w:w="36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6,266</w:t>
            </w:r>
          </w:p>
        </w:tc>
        <w:tc>
          <w:tcPr>
            <w:tcW w:w="18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260" w:type="dxa"/>
            <w:vAlign w:val="bottom"/>
            <w:gridSpan w:val="2"/>
            <w:shd w:val="clear" w:color="auto" w:fill="EAEBEC"/>
          </w:tcPr>
          <w:p>
            <w:pPr>
              <w:jc w:val="right"/>
              <w:ind w:right="340"/>
              <w:spacing w:after="0"/>
              <w:rPr>
                <w:sz w:val="20"/>
                <w:szCs w:val="20"/>
                <w:color w:val="auto"/>
              </w:rPr>
            </w:pPr>
            <w:r>
              <w:rPr>
                <w:rFonts w:ascii="Times New Roman" w:cs="Times New Roman" w:eastAsia="Times New Roman" w:hAnsi="Times New Roman"/>
                <w:sz w:val="20"/>
                <w:szCs w:val="20"/>
                <w:color w:val="231F20"/>
              </w:rPr>
              <w:t>(7,481)</w:t>
            </w:r>
          </w:p>
        </w:tc>
        <w:tc>
          <w:tcPr>
            <w:tcW w:w="120" w:type="dxa"/>
            <w:vAlign w:val="bottom"/>
            <w:shd w:val="clear" w:color="auto" w:fill="EAEBEC"/>
          </w:tcPr>
          <w:p>
            <w:pPr>
              <w:spacing w:after="0"/>
              <w:rPr>
                <w:sz w:val="21"/>
                <w:szCs w:val="21"/>
                <w:color w:val="auto"/>
              </w:rPr>
            </w:pPr>
          </w:p>
        </w:tc>
        <w:tc>
          <w:tcPr>
            <w:tcW w:w="1140" w:type="dxa"/>
            <w:vAlign w:val="bottom"/>
            <w:gridSpan w:val="2"/>
            <w:shd w:val="clear" w:color="auto" w:fill="EAEBEC"/>
          </w:tcPr>
          <w:p>
            <w:pPr>
              <w:jc w:val="right"/>
              <w:ind w:right="220"/>
              <w:spacing w:after="0"/>
              <w:rPr>
                <w:sz w:val="20"/>
                <w:szCs w:val="20"/>
                <w:color w:val="auto"/>
              </w:rPr>
            </w:pPr>
            <w:r>
              <w:rPr>
                <w:rFonts w:ascii="Times New Roman" w:cs="Times New Roman" w:eastAsia="Times New Roman" w:hAnsi="Times New Roman"/>
                <w:sz w:val="20"/>
                <w:szCs w:val="20"/>
                <w:color w:val="231F20"/>
              </w:rPr>
              <w:t>(27,613)</w:t>
            </w:r>
          </w:p>
        </w:tc>
        <w:tc>
          <w:tcPr>
            <w:tcW w:w="0" w:type="dxa"/>
            <w:vAlign w:val="bottom"/>
          </w:tcPr>
          <w:p>
            <w:pPr>
              <w:spacing w:after="0"/>
              <w:rPr>
                <w:sz w:val="1"/>
                <w:szCs w:val="1"/>
                <w:color w:val="auto"/>
              </w:rPr>
            </w:pPr>
          </w:p>
        </w:tc>
      </w:tr>
      <w:tr>
        <w:trPr>
          <w:trHeight w:val="244"/>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196,710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208,517</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203,615</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Income from equity method investees</w:t>
            </w:r>
          </w:p>
        </w:tc>
        <w:tc>
          <w:tcPr>
            <w:tcW w:w="36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120" w:type="dxa"/>
            <w:vAlign w:val="bottom"/>
            <w:gridSpan w:val="2"/>
            <w:shd w:val="clear" w:color="auto" w:fill="EAEBEC"/>
          </w:tcPr>
          <w:p>
            <w:pPr>
              <w:jc w:val="right"/>
              <w:ind w:right="120"/>
              <w:spacing w:after="0"/>
              <w:rPr>
                <w:sz w:val="20"/>
                <w:szCs w:val="20"/>
                <w:color w:val="auto"/>
              </w:rPr>
            </w:pPr>
            <w:r>
              <w:rPr>
                <w:rFonts w:ascii="Times New Roman" w:cs="Times New Roman" w:eastAsia="Times New Roman" w:hAnsi="Times New Roman"/>
                <w:sz w:val="20"/>
                <w:szCs w:val="20"/>
                <w:color w:val="231F20"/>
              </w:rPr>
              <w:t>(20,358)</w:t>
            </w: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260" w:type="dxa"/>
            <w:vAlign w:val="bottom"/>
            <w:gridSpan w:val="2"/>
            <w:shd w:val="clear" w:color="auto" w:fill="EAEBEC"/>
          </w:tcPr>
          <w:p>
            <w:pPr>
              <w:jc w:val="right"/>
              <w:ind w:right="340"/>
              <w:spacing w:after="0"/>
              <w:rPr>
                <w:sz w:val="20"/>
                <w:szCs w:val="20"/>
                <w:color w:val="auto"/>
              </w:rPr>
            </w:pPr>
            <w:r>
              <w:rPr>
                <w:rFonts w:ascii="Times New Roman" w:cs="Times New Roman" w:eastAsia="Times New Roman" w:hAnsi="Times New Roman"/>
                <w:sz w:val="20"/>
                <w:szCs w:val="20"/>
                <w:color w:val="231F20"/>
              </w:rPr>
              <w:t>(18,669)</w:t>
            </w:r>
          </w:p>
        </w:tc>
        <w:tc>
          <w:tcPr>
            <w:tcW w:w="120" w:type="dxa"/>
            <w:vAlign w:val="bottom"/>
            <w:shd w:val="clear" w:color="auto" w:fill="EAEBEC"/>
          </w:tcPr>
          <w:p>
            <w:pPr>
              <w:spacing w:after="0"/>
              <w:rPr>
                <w:sz w:val="21"/>
                <w:szCs w:val="21"/>
                <w:color w:val="auto"/>
              </w:rPr>
            </w:pPr>
          </w:p>
        </w:tc>
        <w:tc>
          <w:tcPr>
            <w:tcW w:w="1140" w:type="dxa"/>
            <w:vAlign w:val="bottom"/>
            <w:gridSpan w:val="2"/>
            <w:shd w:val="clear" w:color="auto" w:fill="EAEBEC"/>
          </w:tcPr>
          <w:p>
            <w:pPr>
              <w:jc w:val="right"/>
              <w:ind w:right="220"/>
              <w:spacing w:after="0"/>
              <w:rPr>
                <w:sz w:val="20"/>
                <w:szCs w:val="20"/>
                <w:color w:val="auto"/>
              </w:rPr>
            </w:pPr>
            <w:r>
              <w:rPr>
                <w:rFonts w:ascii="Times New Roman" w:cs="Times New Roman" w:eastAsia="Times New Roman" w:hAnsi="Times New Roman"/>
                <w:sz w:val="20"/>
                <w:szCs w:val="20"/>
                <w:color w:val="231F20"/>
              </w:rPr>
              <w:t>(16,188)</w:t>
            </w:r>
          </w:p>
        </w:tc>
        <w:tc>
          <w:tcPr>
            <w:tcW w:w="0" w:type="dxa"/>
            <w:vAlign w:val="bottom"/>
          </w:tcPr>
          <w:p>
            <w:pPr>
              <w:spacing w:after="0"/>
              <w:rPr>
                <w:sz w:val="1"/>
                <w:szCs w:val="1"/>
                <w:color w:val="auto"/>
              </w:rPr>
            </w:pPr>
          </w:p>
        </w:tc>
      </w:tr>
      <w:tr>
        <w:trPr>
          <w:trHeight w:val="244"/>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Loss on partial extinguishment of debt</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565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920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Goodwill impairment</w:t>
            </w:r>
          </w:p>
        </w:tc>
        <w:tc>
          <w:tcPr>
            <w:tcW w:w="36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120" w:type="dxa"/>
            <w:vAlign w:val="bottom"/>
            <w:gridSpan w:val="2"/>
            <w:shd w:val="clear" w:color="auto" w:fill="EAEBEC"/>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260" w:type="dxa"/>
            <w:vAlign w:val="bottom"/>
            <w:gridSpan w:val="2"/>
            <w:shd w:val="clear" w:color="auto" w:fill="EAEBEC"/>
          </w:tcPr>
          <w:p>
            <w:pPr>
              <w:jc w:val="right"/>
              <w:ind w:right="420"/>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shd w:val="clear" w:color="auto" w:fill="EAEBEC"/>
          </w:tcPr>
          <w:p>
            <w:pPr>
              <w:spacing w:after="0"/>
              <w:rPr>
                <w:sz w:val="21"/>
                <w:szCs w:val="21"/>
                <w:color w:val="auto"/>
              </w:rPr>
            </w:pPr>
          </w:p>
        </w:tc>
        <w:tc>
          <w:tcPr>
            <w:tcW w:w="8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1,222,524</w:t>
            </w:r>
          </w:p>
        </w:tc>
        <w:tc>
          <w:tcPr>
            <w:tcW w:w="28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Equity-based compensation expense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32,650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50,212</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81,859</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Other non-operating income</w:t>
            </w:r>
          </w:p>
        </w:tc>
        <w:tc>
          <w:tcPr>
            <w:tcW w:w="36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120" w:type="dxa"/>
            <w:vAlign w:val="bottom"/>
            <w:gridSpan w:val="2"/>
            <w:shd w:val="clear" w:color="auto" w:fill="EAEBEC"/>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260" w:type="dxa"/>
            <w:vAlign w:val="bottom"/>
            <w:gridSpan w:val="2"/>
            <w:shd w:val="clear" w:color="auto" w:fill="EAEBEC"/>
          </w:tcPr>
          <w:p>
            <w:pPr>
              <w:jc w:val="right"/>
              <w:ind w:right="340"/>
              <w:spacing w:after="0"/>
              <w:rPr>
                <w:sz w:val="20"/>
                <w:szCs w:val="20"/>
                <w:color w:val="auto"/>
              </w:rPr>
            </w:pPr>
            <w:r>
              <w:rPr>
                <w:rFonts w:ascii="Times New Roman" w:cs="Times New Roman" w:eastAsia="Times New Roman" w:hAnsi="Times New Roman"/>
                <w:sz w:val="20"/>
                <w:szCs w:val="20"/>
                <w:color w:val="231F20"/>
              </w:rPr>
              <w:t>(4,800)</w:t>
            </w:r>
          </w:p>
        </w:tc>
        <w:tc>
          <w:tcPr>
            <w:tcW w:w="120" w:type="dxa"/>
            <w:vAlign w:val="bottom"/>
            <w:shd w:val="clear" w:color="auto" w:fill="EAEBEC"/>
          </w:tcPr>
          <w:p>
            <w:pPr>
              <w:spacing w:after="0"/>
              <w:rPr>
                <w:sz w:val="21"/>
                <w:szCs w:val="21"/>
                <w:color w:val="auto"/>
              </w:rPr>
            </w:pPr>
          </w:p>
        </w:tc>
        <w:tc>
          <w:tcPr>
            <w:tcW w:w="1140" w:type="dxa"/>
            <w:vAlign w:val="bottom"/>
            <w:gridSpan w:val="2"/>
            <w:shd w:val="clear" w:color="auto" w:fill="EAEBEC"/>
          </w:tcPr>
          <w:p>
            <w:pPr>
              <w:jc w:val="right"/>
              <w:ind w:right="220"/>
              <w:spacing w:after="0"/>
              <w:rPr>
                <w:sz w:val="20"/>
                <w:szCs w:val="20"/>
                <w:color w:val="auto"/>
              </w:rPr>
            </w:pPr>
            <w:r>
              <w:rPr>
                <w:rFonts w:ascii="Times New Roman" w:cs="Times New Roman" w:eastAsia="Times New Roman" w:hAnsi="Times New Roman"/>
                <w:sz w:val="20"/>
                <w:szCs w:val="20"/>
                <w:color w:val="231F20"/>
              </w:rPr>
              <w:t>(4,727)</w:t>
            </w:r>
          </w:p>
        </w:tc>
        <w:tc>
          <w:tcPr>
            <w:tcW w:w="0" w:type="dxa"/>
            <w:vAlign w:val="bottom"/>
          </w:tcPr>
          <w:p>
            <w:pPr>
              <w:spacing w:after="0"/>
              <w:rPr>
                <w:sz w:val="1"/>
                <w:szCs w:val="1"/>
                <w:color w:val="auto"/>
              </w:rPr>
            </w:pPr>
          </w:p>
        </w:tc>
      </w:tr>
      <w:tr>
        <w:trPr>
          <w:trHeight w:val="244"/>
        </w:trPr>
        <w:tc>
          <w:tcPr>
            <w:tcW w:w="50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Mexico joint venture EBITDA (1)</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46,135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41,615</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38,226</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0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Acquisition and divestiture-related integration costs (2)</w:t>
            </w:r>
          </w:p>
        </w:tc>
        <w:tc>
          <w:tcPr>
            <w:tcW w:w="36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120" w:type="dxa"/>
            <w:vAlign w:val="bottom"/>
            <w:gridSpan w:val="2"/>
            <w:shd w:val="clear" w:color="auto" w:fill="EAEBEC"/>
          </w:tcPr>
          <w:p>
            <w:pPr>
              <w:jc w:val="right"/>
              <w:ind w:right="20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8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3,719</w:t>
            </w:r>
          </w:p>
        </w:tc>
        <w:tc>
          <w:tcPr>
            <w:tcW w:w="40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140" w:type="dxa"/>
            <w:vAlign w:val="bottom"/>
            <w:gridSpan w:val="2"/>
            <w:shd w:val="clear" w:color="auto" w:fill="EAEBEC"/>
          </w:tcPr>
          <w:p>
            <w:pPr>
              <w:jc w:val="right"/>
              <w:ind w:right="30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5000" w:type="dxa"/>
            <w:vAlign w:val="bottom"/>
            <w:tcBorders>
              <w:bottom w:val="single" w:sz="8" w:color="EAEBEC"/>
            </w:tcBorders>
          </w:tcPr>
          <w:p>
            <w:pPr>
              <w:ind w:left="200"/>
              <w:spacing w:after="0"/>
              <w:rPr>
                <w:sz w:val="20"/>
                <w:szCs w:val="20"/>
                <w:color w:val="auto"/>
              </w:rPr>
            </w:pPr>
            <w:r>
              <w:rPr>
                <w:rFonts w:ascii="Times New Roman" w:cs="Times New Roman" w:eastAsia="Times New Roman" w:hAnsi="Times New Roman"/>
                <w:sz w:val="20"/>
                <w:szCs w:val="20"/>
                <w:color w:val="231F20"/>
              </w:rPr>
              <w:t>Other costs (3)</w:t>
            </w:r>
          </w:p>
        </w:tc>
        <w:tc>
          <w:tcPr>
            <w:tcW w:w="360" w:type="dxa"/>
            <w:vAlign w:val="bottom"/>
            <w:tcBorders>
              <w:bottom w:val="single" w:sz="8" w:color="EAEBEC"/>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12,239</w:t>
            </w:r>
          </w:p>
        </w:tc>
        <w:tc>
          <w:tcPr>
            <w:tcW w:w="180" w:type="dxa"/>
            <w:vAlign w:val="bottom"/>
            <w:tcBorders>
              <w:bottom w:val="single" w:sz="8" w:color="EAEBEC"/>
            </w:tcBorders>
          </w:tcPr>
          <w:p>
            <w:pPr>
              <w:spacing w:after="0"/>
              <w:rPr>
                <w:sz w:val="21"/>
                <w:szCs w:val="21"/>
                <w:color w:val="auto"/>
              </w:rPr>
            </w:pPr>
          </w:p>
        </w:tc>
        <w:tc>
          <w:tcPr>
            <w:tcW w:w="140" w:type="dxa"/>
            <w:vAlign w:val="bottom"/>
            <w:tcBorders>
              <w:bottom w:val="single" w:sz="8" w:color="EAEBEC"/>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25,412</w:t>
            </w:r>
          </w:p>
        </w:tc>
        <w:tc>
          <w:tcPr>
            <w:tcW w:w="400" w:type="dxa"/>
            <w:vAlign w:val="bottom"/>
            <w:tcBorders>
              <w:bottom w:val="single" w:sz="8" w:color="EAEBEC"/>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35,193</w:t>
            </w:r>
          </w:p>
        </w:tc>
        <w:tc>
          <w:tcPr>
            <w:tcW w:w="280" w:type="dxa"/>
            <w:vAlign w:val="bottom"/>
            <w:tcBorders>
              <w:bottom w:val="single" w:sz="8" w:color="EAEBEC"/>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00" w:type="dxa"/>
            <w:vAlign w:val="bottom"/>
            <w:shd w:val="clear" w:color="auto" w:fill="EAEBEC"/>
          </w:tcPr>
          <w:p>
            <w:pPr>
              <w:ind w:left="400"/>
              <w:spacing w:after="0"/>
              <w:rPr>
                <w:sz w:val="20"/>
                <w:szCs w:val="20"/>
                <w:color w:val="auto"/>
              </w:rPr>
            </w:pPr>
            <w:r>
              <w:rPr>
                <w:rFonts w:ascii="Times New Roman" w:cs="Times New Roman" w:eastAsia="Times New Roman" w:hAnsi="Times New Roman"/>
                <w:sz w:val="20"/>
                <w:szCs w:val="20"/>
                <w:b w:val="1"/>
                <w:bCs w:val="1"/>
                <w:color w:val="231F20"/>
              </w:rPr>
              <w:t>Adjusted EBITDA</w:t>
            </w:r>
          </w:p>
        </w:tc>
        <w:tc>
          <w:tcPr>
            <w:tcW w:w="360" w:type="dxa"/>
            <w:vAlign w:val="bottom"/>
            <w:shd w:val="clear" w:color="auto" w:fill="EAEBEC"/>
          </w:tcPr>
          <w:p>
            <w:pPr>
              <w:spacing w:after="0"/>
              <w:rPr>
                <w:sz w:val="20"/>
                <w:szCs w:val="20"/>
                <w:color w:val="auto"/>
              </w:rPr>
            </w:pPr>
          </w:p>
        </w:tc>
        <w:tc>
          <w:tcPr>
            <w:tcW w:w="10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9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408,167</w:t>
            </w:r>
          </w:p>
        </w:tc>
        <w:tc>
          <w:tcPr>
            <w:tcW w:w="18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1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8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336,526</w:t>
            </w:r>
          </w:p>
        </w:tc>
        <w:tc>
          <w:tcPr>
            <w:tcW w:w="400" w:type="dxa"/>
            <w:vAlign w:val="bottom"/>
            <w:shd w:val="clear" w:color="auto" w:fill="EAEBEC"/>
          </w:tcPr>
          <w:p>
            <w:pPr>
              <w:spacing w:after="0"/>
              <w:rPr>
                <w:sz w:val="20"/>
                <w:szCs w:val="20"/>
                <w:color w:val="auto"/>
              </w:rPr>
            </w:pPr>
          </w:p>
        </w:tc>
        <w:tc>
          <w:tcPr>
            <w:tcW w:w="1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8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401,103</w:t>
            </w:r>
          </w:p>
        </w:tc>
        <w:tc>
          <w:tcPr>
            <w:tcW w:w="280" w:type="dxa"/>
            <w:vAlign w:val="bottom"/>
            <w:shd w:val="clear" w:color="auto" w:fill="EAEBE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rPr>
              <w:t>Net sales</w:t>
            </w:r>
          </w:p>
        </w:tc>
        <w:tc>
          <w:tcPr>
            <w:tcW w:w="4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0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5,961,467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6,116,462</w:t>
            </w:r>
          </w:p>
        </w:tc>
        <w:tc>
          <w:tcPr>
            <w:tcW w:w="400" w:type="dxa"/>
            <w:vAlign w:val="bottom"/>
          </w:tcPr>
          <w:p>
            <w:pPr>
              <w:spacing w:after="0"/>
              <w:rPr>
                <w:sz w:val="19"/>
                <w:szCs w:val="19"/>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6,255,284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000" w:type="dxa"/>
            <w:vAlign w:val="bottom"/>
            <w:shd w:val="clear" w:color="auto" w:fill="EAEBEC"/>
          </w:tcPr>
          <w:p>
            <w:pPr>
              <w:ind w:left="400"/>
              <w:spacing w:after="0"/>
              <w:rPr>
                <w:sz w:val="20"/>
                <w:szCs w:val="20"/>
                <w:color w:val="auto"/>
              </w:rPr>
            </w:pPr>
            <w:r>
              <w:rPr>
                <w:rFonts w:ascii="Times New Roman" w:cs="Times New Roman" w:eastAsia="Times New Roman" w:hAnsi="Times New Roman"/>
                <w:sz w:val="20"/>
                <w:szCs w:val="20"/>
                <w:color w:val="231F20"/>
              </w:rPr>
              <w:t>Net margin (4)</w:t>
            </w:r>
          </w:p>
        </w:tc>
        <w:tc>
          <w:tcPr>
            <w:tcW w:w="36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12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0.2%</w:t>
            </w:r>
          </w:p>
        </w:tc>
        <w:tc>
          <w:tcPr>
            <w:tcW w:w="14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26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(1.7)%</w:t>
            </w:r>
          </w:p>
        </w:tc>
        <w:tc>
          <w:tcPr>
            <w:tcW w:w="120" w:type="dxa"/>
            <w:vAlign w:val="bottom"/>
            <w:shd w:val="clear" w:color="auto" w:fill="EAEBEC"/>
          </w:tcPr>
          <w:p>
            <w:pPr>
              <w:spacing w:after="0"/>
              <w:rPr>
                <w:sz w:val="21"/>
                <w:szCs w:val="21"/>
                <w:color w:val="auto"/>
              </w:rPr>
            </w:pPr>
          </w:p>
        </w:tc>
        <w:tc>
          <w:tcPr>
            <w:tcW w:w="1140" w:type="dxa"/>
            <w:vAlign w:val="bottom"/>
            <w:gridSpan w:val="2"/>
            <w:shd w:val="clear" w:color="auto" w:fill="EAEBEC"/>
          </w:tcPr>
          <w:p>
            <w:pPr>
              <w:jc w:val="right"/>
              <w:ind w:right="60"/>
              <w:spacing w:after="0"/>
              <w:rPr>
                <w:sz w:val="20"/>
                <w:szCs w:val="20"/>
                <w:color w:val="auto"/>
              </w:rPr>
            </w:pPr>
            <w:r>
              <w:rPr>
                <w:rFonts w:ascii="Times New Roman" w:cs="Times New Roman" w:eastAsia="Times New Roman" w:hAnsi="Times New Roman"/>
                <w:sz w:val="20"/>
                <w:szCs w:val="20"/>
                <w:color w:val="231F20"/>
              </w:rPr>
              <w:t>(20.5)%</w:t>
            </w:r>
          </w:p>
        </w:tc>
        <w:tc>
          <w:tcPr>
            <w:tcW w:w="0" w:type="dxa"/>
            <w:vAlign w:val="bottom"/>
          </w:tcPr>
          <w:p>
            <w:pPr>
              <w:spacing w:after="0"/>
              <w:rPr>
                <w:sz w:val="1"/>
                <w:szCs w:val="1"/>
                <w:color w:val="auto"/>
              </w:rPr>
            </w:pPr>
          </w:p>
        </w:tc>
      </w:tr>
      <w:tr>
        <w:trPr>
          <w:trHeight w:val="266"/>
        </w:trPr>
        <w:tc>
          <w:tcPr>
            <w:tcW w:w="500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Adjusted EBITDA Margin</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6.8%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5.5%</w:t>
            </w:r>
          </w:p>
        </w:tc>
        <w:tc>
          <w:tcPr>
            <w:tcW w:w="120" w:type="dxa"/>
            <w:vAlign w:val="bottom"/>
          </w:tcPr>
          <w:p>
            <w:pPr>
              <w:spacing w:after="0"/>
              <w:rPr>
                <w:sz w:val="23"/>
                <w:szCs w:val="2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3387090</wp:posOffset>
            </wp:positionH>
            <wp:positionV relativeFrom="paragraph">
              <wp:posOffset>-3078480</wp:posOffset>
            </wp:positionV>
            <wp:extent cx="239268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a:extLst>
                        <a:ext uri="{28A0092B-C50C-407E-A947-70E740481C1C}"/>
                      </a:extLst>
                    </a:blip>
                    <a:srcRect/>
                    <a:stretch>
                      <a:fillRect/>
                    </a:stretch>
                  </pic:blipFill>
                  <pic:spPr bwMode="auto">
                    <a:xfrm>
                      <a:off x="0" y="0"/>
                      <a:ext cx="2392680" cy="38100"/>
                    </a:xfrm>
                    <a:prstGeom prst="rect">
                      <a:avLst/>
                    </a:prstGeom>
                    <a:noFill/>
                  </pic:spPr>
                </pic:pic>
              </a:graphicData>
            </a:graphic>
          </wp:anchor>
        </w:drawing>
      </w:r>
    </w:p>
    <w:p>
      <w:pPr>
        <w:sectPr>
          <w:pgSz w:w="11880" w:h="15480" w:orient="portrait"/>
          <w:cols w:equalWidth="0" w:num="1">
            <w:col w:w="9360"/>
          </w:cols>
          <w:pgMar w:left="1260" w:top="876" w:right="1260" w:bottom="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9360"/>
          </w:cols>
          <w:pgMar w:left="1260" w:top="876" w:right="1260" w:bottom="0" w:gutter="0" w:footer="0" w:header="0"/>
          <w:type w:val="continuous"/>
        </w:sectPr>
      </w:pPr>
    </w:p>
    <w:bookmarkStart w:id="63" w:name="page64"/>
    <w:bookmarkEnd w:id="63"/>
    <w:p>
      <w:pPr>
        <w:ind w:left="480" w:right="80" w:hanging="480"/>
        <w:spacing w:after="0" w:line="249" w:lineRule="auto"/>
        <w:tabs>
          <w:tab w:leader="none" w:pos="480" w:val="left"/>
        </w:tabs>
        <w:numPr>
          <w:ilvl w:val="0"/>
          <w:numId w:val="2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mc:AlternateContent>
          <mc:Choice Requires="wps">
            <w:drawing>
              <wp:anchor simplePos="0" relativeHeight="251657728" behindDoc="1" locked="0" layoutInCell="0" allowOverlap="1">
                <wp:simplePos x="0" y="0"/>
                <wp:positionH relativeFrom="page">
                  <wp:posOffset>800100</wp:posOffset>
                </wp:positionH>
                <wp:positionV relativeFrom="page">
                  <wp:posOffset>645160</wp:posOffset>
                </wp:positionV>
                <wp:extent cx="9144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pt,50.8pt" to="135pt,50.8pt" o:allowincell="f" strokecolor="#231F20" strokeweight="0.5pt">
                <w10:wrap anchorx="page" anchory="page"/>
              </v:line>
            </w:pict>
          </mc:Fallback>
        </mc:AlternateContent>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Fiscal years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January 31,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rPr>
              <w:t>February 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8"/>
              </w:rPr>
              <w:t>February 3,</w:t>
            </w:r>
          </w:p>
        </w:tc>
        <w:tc>
          <w:tcPr>
            <w:tcW w:w="0" w:type="dxa"/>
            <w:vAlign w:val="bottom"/>
          </w:tcPr>
          <w:p>
            <w:pPr>
              <w:spacing w:after="0"/>
              <w:rPr>
                <w:sz w:val="1"/>
                <w:szCs w:val="1"/>
                <w:color w:val="auto"/>
              </w:rPr>
            </w:pPr>
          </w:p>
        </w:tc>
      </w:tr>
      <w:tr>
        <w:trPr>
          <w:trHeight w:val="203"/>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(dollars in thousands)</w:t>
            </w:r>
          </w:p>
        </w:tc>
        <w:tc>
          <w:tcPr>
            <w:tcW w:w="174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center"/>
              <w:ind w:right="66"/>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center"/>
              <w:ind w:right="46"/>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680" w:type="dxa"/>
            <w:vAlign w:val="bottom"/>
            <w:gridSpan w:val="2"/>
            <w:vMerge w:val="continue"/>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46"/>
              <w:spacing w:after="0" w:line="179" w:lineRule="exact"/>
              <w:rPr>
                <w:sz w:val="20"/>
                <w:szCs w:val="20"/>
                <w:color w:val="auto"/>
              </w:rPr>
            </w:pPr>
            <w:r>
              <w:rPr>
                <w:rFonts w:ascii="Times New Roman" w:cs="Times New Roman" w:eastAsia="Times New Roman" w:hAnsi="Times New Roman"/>
                <w:sz w:val="16"/>
                <w:szCs w:val="16"/>
                <w:b w:val="1"/>
                <w:bCs w:val="1"/>
                <w:color w:val="231F20"/>
                <w:w w:val="97"/>
              </w:rPr>
              <w:t>(52 weeks)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46"/>
              <w:spacing w:after="0" w:line="179" w:lineRule="exact"/>
              <w:rPr>
                <w:sz w:val="20"/>
                <w:szCs w:val="20"/>
                <w:color w:val="auto"/>
              </w:rPr>
            </w:pPr>
            <w:r>
              <w:rPr>
                <w:rFonts w:ascii="Times New Roman" w:cs="Times New Roman" w:eastAsia="Times New Roman" w:hAnsi="Times New Roman"/>
                <w:sz w:val="16"/>
                <w:szCs w:val="16"/>
                <w:b w:val="1"/>
                <w:bCs w:val="1"/>
                <w:color w:val="231F20"/>
                <w:w w:val="97"/>
              </w:rPr>
              <w:t>(52 weeks)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46"/>
              <w:spacing w:after="0" w:line="179" w:lineRule="exact"/>
              <w:rPr>
                <w:sz w:val="20"/>
                <w:szCs w:val="20"/>
                <w:color w:val="auto"/>
              </w:rPr>
            </w:pPr>
            <w:r>
              <w:rPr>
                <w:rFonts w:ascii="Times New Roman" w:cs="Times New Roman" w:eastAsia="Times New Roman" w:hAnsi="Times New Roman"/>
                <w:sz w:val="16"/>
                <w:szCs w:val="16"/>
                <w:b w:val="1"/>
                <w:bCs w:val="1"/>
                <w:color w:val="231F20"/>
              </w:rPr>
              <w:t>(53 weeks)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EAEBEC"/>
          </w:tcPr>
          <w:p>
            <w:pPr>
              <w:spacing w:after="0"/>
              <w:rPr>
                <w:sz w:val="20"/>
                <w:szCs w:val="20"/>
                <w:color w:val="auto"/>
              </w:rPr>
            </w:pPr>
            <w:r>
              <w:rPr>
                <w:rFonts w:ascii="Times New Roman" w:cs="Times New Roman" w:eastAsia="Times New Roman" w:hAnsi="Times New Roman"/>
                <w:sz w:val="20"/>
                <w:szCs w:val="20"/>
                <w:color w:val="231F20"/>
              </w:rPr>
              <w:t>Net income</w:t>
            </w:r>
          </w:p>
        </w:tc>
        <w:tc>
          <w:tcPr>
            <w:tcW w:w="188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rPr>
              <w:t>40,715</w:t>
            </w:r>
          </w:p>
        </w:tc>
        <w:tc>
          <w:tcPr>
            <w:tcW w:w="28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37,559</w:t>
            </w:r>
          </w:p>
        </w:tc>
        <w:tc>
          <w:tcPr>
            <w:tcW w:w="140" w:type="dxa"/>
            <w:vAlign w:val="bottom"/>
            <w:shd w:val="clear" w:color="auto" w:fill="EAEBEC"/>
          </w:tcPr>
          <w:p>
            <w:pPr>
              <w:spacing w:after="0"/>
              <w:rPr>
                <w:sz w:val="20"/>
                <w:szCs w:val="20"/>
                <w:color w:val="auto"/>
              </w:rPr>
            </w:pPr>
          </w:p>
        </w:tc>
        <w:tc>
          <w:tcPr>
            <w:tcW w:w="22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gridSpan w:val="2"/>
            <w:shd w:val="clear" w:color="auto" w:fill="EAEBEC"/>
          </w:tcPr>
          <w:p>
            <w:pPr>
              <w:jc w:val="right"/>
              <w:ind w:right="60"/>
              <w:spacing w:after="0"/>
              <w:rPr>
                <w:sz w:val="20"/>
                <w:szCs w:val="20"/>
                <w:color w:val="auto"/>
              </w:rPr>
            </w:pPr>
            <w:r>
              <w:rPr>
                <w:rFonts w:ascii="Times New Roman" w:cs="Times New Roman" w:eastAsia="Times New Roman" w:hAnsi="Times New Roman"/>
                <w:sz w:val="20"/>
                <w:szCs w:val="20"/>
                <w:color w:val="231F20"/>
              </w:rPr>
              <w:t>32,375</w:t>
            </w:r>
          </w:p>
        </w:tc>
        <w:tc>
          <w:tcPr>
            <w:tcW w:w="0" w:type="dxa"/>
            <w:vAlign w:val="bottom"/>
          </w:tcPr>
          <w:p>
            <w:pPr>
              <w:spacing w:after="0"/>
              <w:rPr>
                <w:sz w:val="1"/>
                <w:szCs w:val="1"/>
                <w:color w:val="auto"/>
              </w:rPr>
            </w:pPr>
          </w:p>
        </w:tc>
      </w:tr>
      <w:tr>
        <w:trPr>
          <w:trHeight w:val="230"/>
        </w:trPr>
        <w:tc>
          <w:tcPr>
            <w:tcW w:w="36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Depreciation</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28,934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27,360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26,141</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Income tax expense</w:t>
            </w:r>
          </w:p>
        </w:tc>
        <w:tc>
          <w:tcPr>
            <w:tcW w:w="174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108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rPr>
              <w:t>18,267</w:t>
            </w:r>
          </w:p>
        </w:tc>
        <w:tc>
          <w:tcPr>
            <w:tcW w:w="14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16,010</w:t>
            </w:r>
          </w:p>
        </w:tc>
        <w:tc>
          <w:tcPr>
            <w:tcW w:w="140" w:type="dxa"/>
            <w:vAlign w:val="bottom"/>
            <w:shd w:val="clear" w:color="auto" w:fill="EAEBEC"/>
          </w:tcPr>
          <w:p>
            <w:pPr>
              <w:spacing w:after="0"/>
              <w:rPr>
                <w:sz w:val="20"/>
                <w:szCs w:val="20"/>
                <w:color w:val="auto"/>
              </w:rPr>
            </w:pPr>
          </w:p>
        </w:tc>
        <w:tc>
          <w:tcPr>
            <w:tcW w:w="8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1080" w:type="dxa"/>
            <w:vAlign w:val="bottom"/>
            <w:gridSpan w:val="2"/>
            <w:shd w:val="clear" w:color="auto" w:fill="EAEBEC"/>
          </w:tcPr>
          <w:p>
            <w:pPr>
              <w:jc w:val="right"/>
              <w:ind w:right="60"/>
              <w:spacing w:after="0"/>
              <w:rPr>
                <w:sz w:val="20"/>
                <w:szCs w:val="20"/>
                <w:color w:val="auto"/>
              </w:rPr>
            </w:pPr>
            <w:r>
              <w:rPr>
                <w:rFonts w:ascii="Times New Roman" w:cs="Times New Roman" w:eastAsia="Times New Roman" w:hAnsi="Times New Roman"/>
                <w:sz w:val="20"/>
                <w:szCs w:val="20"/>
                <w:color w:val="231F20"/>
              </w:rPr>
              <w:t>11,449</w:t>
            </w:r>
          </w:p>
        </w:tc>
        <w:tc>
          <w:tcPr>
            <w:tcW w:w="0" w:type="dxa"/>
            <w:vAlign w:val="bottom"/>
          </w:tcPr>
          <w:p>
            <w:pPr>
              <w:spacing w:after="0"/>
              <w:rPr>
                <w:sz w:val="1"/>
                <w:szCs w:val="1"/>
                <w:color w:val="auto"/>
              </w:rPr>
            </w:pPr>
          </w:p>
        </w:tc>
      </w:tr>
      <w:tr>
        <w:trPr>
          <w:trHeight w:val="230"/>
        </w:trPr>
        <w:tc>
          <w:tcPr>
            <w:tcW w:w="36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Foreign currency loss</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772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1,520</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Interest expense, net</w:t>
            </w:r>
          </w:p>
        </w:tc>
        <w:tc>
          <w:tcPr>
            <w:tcW w:w="174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108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rPr>
              <w:t>3,581</w:t>
            </w:r>
          </w:p>
        </w:tc>
        <w:tc>
          <w:tcPr>
            <w:tcW w:w="14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2,131</w:t>
            </w:r>
          </w:p>
        </w:tc>
        <w:tc>
          <w:tcPr>
            <w:tcW w:w="140" w:type="dxa"/>
            <w:vAlign w:val="bottom"/>
            <w:shd w:val="clear" w:color="auto" w:fill="EAEBEC"/>
          </w:tcPr>
          <w:p>
            <w:pPr>
              <w:spacing w:after="0"/>
              <w:rPr>
                <w:sz w:val="20"/>
                <w:szCs w:val="20"/>
                <w:color w:val="auto"/>
              </w:rPr>
            </w:pPr>
          </w:p>
        </w:tc>
        <w:tc>
          <w:tcPr>
            <w:tcW w:w="8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1080" w:type="dxa"/>
            <w:vAlign w:val="bottom"/>
            <w:gridSpan w:val="2"/>
            <w:shd w:val="clear" w:color="auto" w:fill="EAEBEC"/>
          </w:tcPr>
          <w:p>
            <w:pPr>
              <w:jc w:val="right"/>
              <w:ind w:right="60"/>
              <w:spacing w:after="0"/>
              <w:rPr>
                <w:sz w:val="20"/>
                <w:szCs w:val="20"/>
                <w:color w:val="auto"/>
              </w:rPr>
            </w:pPr>
            <w:r>
              <w:rPr>
                <w:rFonts w:ascii="Times New Roman" w:cs="Times New Roman" w:eastAsia="Times New Roman" w:hAnsi="Times New Roman"/>
                <w:sz w:val="20"/>
                <w:szCs w:val="20"/>
                <w:color w:val="231F20"/>
              </w:rPr>
              <w:t>4,966</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EAEBEC"/>
            </w:tcBorders>
            <w:gridSpan w:val="2"/>
          </w:tcPr>
          <w:p>
            <w:pPr>
              <w:spacing w:after="0" w:line="225" w:lineRule="exact"/>
              <w:rPr>
                <w:sz w:val="20"/>
                <w:szCs w:val="20"/>
                <w:color w:val="auto"/>
              </w:rPr>
            </w:pPr>
            <w:r>
              <w:rPr>
                <w:rFonts w:ascii="Times New Roman" w:cs="Times New Roman" w:eastAsia="Times New Roman" w:hAnsi="Times New Roman"/>
                <w:sz w:val="20"/>
                <w:szCs w:val="20"/>
                <w:color w:val="231F20"/>
              </w:rPr>
              <w:t>EBITDA</w:t>
            </w:r>
          </w:p>
        </w:tc>
        <w:tc>
          <w:tcPr>
            <w:tcW w:w="1740" w:type="dxa"/>
            <w:vAlign w:val="bottom"/>
            <w:tcBorders>
              <w:bottom w:val="single" w:sz="8" w:color="EAEBEC"/>
            </w:tcBorders>
          </w:tcPr>
          <w:p>
            <w:pPr>
              <w:spacing w:after="0"/>
              <w:rPr>
                <w:sz w:val="19"/>
                <w:szCs w:val="19"/>
                <w:color w:val="auto"/>
              </w:rPr>
            </w:pPr>
          </w:p>
        </w:tc>
        <w:tc>
          <w:tcPr>
            <w:tcW w:w="14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92,269</w:t>
            </w:r>
          </w:p>
        </w:tc>
        <w:tc>
          <w:tcPr>
            <w:tcW w:w="80" w:type="dxa"/>
            <w:vAlign w:val="bottom"/>
            <w:tcBorders>
              <w:bottom w:val="single" w:sz="8" w:color="EAEBEC"/>
            </w:tcBorders>
          </w:tcPr>
          <w:p>
            <w:pPr>
              <w:spacing w:after="0"/>
              <w:rPr>
                <w:sz w:val="19"/>
                <w:szCs w:val="19"/>
                <w:color w:val="auto"/>
              </w:rPr>
            </w:pPr>
          </w:p>
        </w:tc>
        <w:tc>
          <w:tcPr>
            <w:tcW w:w="140" w:type="dxa"/>
            <w:vAlign w:val="bottom"/>
            <w:tcBorders>
              <w:bottom w:val="single" w:sz="8" w:color="EAEBEC"/>
            </w:tcBorders>
          </w:tcPr>
          <w:p>
            <w:pPr>
              <w:spacing w:after="0"/>
              <w:rPr>
                <w:sz w:val="19"/>
                <w:szCs w:val="19"/>
                <w:color w:val="auto"/>
              </w:rPr>
            </w:pPr>
          </w:p>
        </w:tc>
        <w:tc>
          <w:tcPr>
            <w:tcW w:w="14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83,229</w:t>
            </w:r>
          </w:p>
        </w:tc>
        <w:tc>
          <w:tcPr>
            <w:tcW w:w="140" w:type="dxa"/>
            <w:vAlign w:val="bottom"/>
            <w:tcBorders>
              <w:bottom w:val="single" w:sz="8" w:color="EAEBEC"/>
            </w:tcBorders>
          </w:tcPr>
          <w:p>
            <w:pPr>
              <w:spacing w:after="0"/>
              <w:rPr>
                <w:sz w:val="19"/>
                <w:szCs w:val="19"/>
                <w:color w:val="auto"/>
              </w:rPr>
            </w:pPr>
          </w:p>
        </w:tc>
        <w:tc>
          <w:tcPr>
            <w:tcW w:w="80" w:type="dxa"/>
            <w:vAlign w:val="bottom"/>
            <w:tcBorders>
              <w:bottom w:val="single" w:sz="8" w:color="EAEBEC"/>
            </w:tcBorders>
          </w:tcPr>
          <w:p>
            <w:pPr>
              <w:spacing w:after="0"/>
              <w:rPr>
                <w:sz w:val="19"/>
                <w:szCs w:val="19"/>
                <w:color w:val="auto"/>
              </w:rPr>
            </w:pPr>
          </w:p>
        </w:tc>
        <w:tc>
          <w:tcPr>
            <w:tcW w:w="14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top w:val="single" w:sz="8" w:color="231F20"/>
              <w:bottom w:val="single" w:sz="8" w:color="231F20"/>
            </w:tcBorders>
          </w:tcPr>
          <w:p>
            <w:pPr>
              <w:jc w:val="right"/>
              <w:spacing w:after="0" w:line="225" w:lineRule="exact"/>
              <w:rPr>
                <w:sz w:val="20"/>
                <w:szCs w:val="20"/>
                <w:color w:val="auto"/>
              </w:rPr>
            </w:pPr>
            <w:r>
              <w:rPr>
                <w:rFonts w:ascii="Times New Roman" w:cs="Times New Roman" w:eastAsia="Times New Roman" w:hAnsi="Times New Roman"/>
                <w:sz w:val="20"/>
                <w:szCs w:val="20"/>
                <w:color w:val="231F20"/>
              </w:rPr>
              <w:t>76,451</w:t>
            </w:r>
          </w:p>
        </w:tc>
        <w:tc>
          <w:tcPr>
            <w:tcW w:w="60" w:type="dxa"/>
            <w:vAlign w:val="bottom"/>
            <w:tcBorders>
              <w:bottom w:val="single" w:sz="8" w:color="EAEBE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gridSpan w:val="2"/>
            <w:shd w:val="clear" w:color="auto" w:fill="EAEBEC"/>
          </w:tcPr>
          <w:p>
            <w:pPr>
              <w:spacing w:after="0" w:line="225" w:lineRule="exact"/>
              <w:rPr>
                <w:sz w:val="20"/>
                <w:szCs w:val="20"/>
                <w:color w:val="auto"/>
              </w:rPr>
            </w:pPr>
            <w:r>
              <w:rPr>
                <w:rFonts w:ascii="Times New Roman" w:cs="Times New Roman" w:eastAsia="Times New Roman" w:hAnsi="Times New Roman"/>
                <w:sz w:val="20"/>
                <w:szCs w:val="20"/>
                <w:color w:val="231F20"/>
              </w:rPr>
              <w:t>50% of EBITDA</w:t>
            </w:r>
          </w:p>
        </w:tc>
        <w:tc>
          <w:tcPr>
            <w:tcW w:w="1740" w:type="dxa"/>
            <w:vAlign w:val="bottom"/>
            <w:shd w:val="clear" w:color="auto" w:fill="EAEBEC"/>
          </w:tcPr>
          <w:p>
            <w:pPr>
              <w:spacing w:after="0"/>
              <w:rPr>
                <w:sz w:val="19"/>
                <w:szCs w:val="19"/>
                <w:color w:val="auto"/>
              </w:rPr>
            </w:pPr>
          </w:p>
        </w:tc>
        <w:tc>
          <w:tcPr>
            <w:tcW w:w="140" w:type="dxa"/>
            <w:vAlign w:val="bottom"/>
            <w:tcBorders>
              <w:bottom w:val="single" w:sz="8" w:color="231F20"/>
            </w:tcBorders>
            <w:shd w:val="clear" w:color="auto" w:fill="EAEBEC"/>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shd w:val="clear" w:color="auto" w:fill="EAEB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46,135</w:t>
            </w:r>
          </w:p>
        </w:tc>
        <w:tc>
          <w:tcPr>
            <w:tcW w:w="80" w:type="dxa"/>
            <w:vAlign w:val="bottom"/>
            <w:shd w:val="clear" w:color="auto" w:fill="EAEBEC"/>
          </w:tcPr>
          <w:p>
            <w:pPr>
              <w:spacing w:after="0"/>
              <w:rPr>
                <w:sz w:val="19"/>
                <w:szCs w:val="19"/>
                <w:color w:val="auto"/>
              </w:rPr>
            </w:pPr>
          </w:p>
        </w:tc>
        <w:tc>
          <w:tcPr>
            <w:tcW w:w="140" w:type="dxa"/>
            <w:vAlign w:val="bottom"/>
            <w:shd w:val="clear" w:color="auto" w:fill="EAEBEC"/>
          </w:tcPr>
          <w:p>
            <w:pPr>
              <w:spacing w:after="0"/>
              <w:rPr>
                <w:sz w:val="19"/>
                <w:szCs w:val="19"/>
                <w:color w:val="auto"/>
              </w:rPr>
            </w:pPr>
          </w:p>
        </w:tc>
        <w:tc>
          <w:tcPr>
            <w:tcW w:w="140" w:type="dxa"/>
            <w:vAlign w:val="bottom"/>
            <w:tcBorders>
              <w:bottom w:val="single" w:sz="8" w:color="231F20"/>
            </w:tcBorders>
            <w:shd w:val="clear" w:color="auto" w:fill="EAEBEC"/>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bottom w:val="single" w:sz="8" w:color="231F20"/>
            </w:tcBorders>
            <w:shd w:val="clear" w:color="auto" w:fill="EAEB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41,615</w:t>
            </w:r>
          </w:p>
        </w:tc>
        <w:tc>
          <w:tcPr>
            <w:tcW w:w="140" w:type="dxa"/>
            <w:vAlign w:val="bottom"/>
            <w:shd w:val="clear" w:color="auto" w:fill="EAEBEC"/>
          </w:tcPr>
          <w:p>
            <w:pPr>
              <w:spacing w:after="0"/>
              <w:rPr>
                <w:sz w:val="19"/>
                <w:szCs w:val="19"/>
                <w:color w:val="auto"/>
              </w:rPr>
            </w:pPr>
          </w:p>
        </w:tc>
        <w:tc>
          <w:tcPr>
            <w:tcW w:w="80" w:type="dxa"/>
            <w:vAlign w:val="bottom"/>
            <w:shd w:val="clear" w:color="auto" w:fill="EAEBEC"/>
          </w:tcPr>
          <w:p>
            <w:pPr>
              <w:spacing w:after="0"/>
              <w:rPr>
                <w:sz w:val="19"/>
                <w:szCs w:val="19"/>
                <w:color w:val="auto"/>
              </w:rPr>
            </w:pPr>
          </w:p>
        </w:tc>
        <w:tc>
          <w:tcPr>
            <w:tcW w:w="140" w:type="dxa"/>
            <w:vAlign w:val="bottom"/>
            <w:tcBorders>
              <w:bottom w:val="single" w:sz="8" w:color="231F20"/>
            </w:tcBorders>
            <w:shd w:val="clear" w:color="auto" w:fill="EAEBEC"/>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shd w:val="clear" w:color="auto" w:fill="EAEB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38,226</w:t>
            </w:r>
          </w:p>
        </w:tc>
        <w:tc>
          <w:tcPr>
            <w:tcW w:w="60" w:type="dxa"/>
            <w:vAlign w:val="bottom"/>
            <w:shd w:val="clear" w:color="auto" w:fill="EAEBE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440" w:type="dxa"/>
            <w:vAlign w:val="bottom"/>
            <w:tcBorders>
              <w:bottom w:val="single" w:sz="8" w:color="231F20"/>
            </w:tcBorders>
          </w:tcPr>
          <w:p>
            <w:pPr>
              <w:spacing w:after="0"/>
              <w:rPr>
                <w:sz w:val="8"/>
                <w:szCs w:val="8"/>
                <w:color w:val="auto"/>
              </w:rPr>
            </w:pPr>
          </w:p>
        </w:tc>
        <w:tc>
          <w:tcPr>
            <w:tcW w:w="22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-1530985</wp:posOffset>
            </wp:positionV>
            <wp:extent cx="249999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a:extLst>
                        <a:ext uri="{28A0092B-C50C-407E-A947-70E740481C1C}"/>
                      </a:extLst>
                    </a:blip>
                    <a:srcRect/>
                    <a:stretch>
                      <a:fillRect/>
                    </a:stretch>
                  </pic:blipFill>
                  <pic:spPr bwMode="auto">
                    <a:xfrm>
                      <a:off x="0" y="0"/>
                      <a:ext cx="2499995" cy="38100"/>
                    </a:xfrm>
                    <a:prstGeom prst="rect">
                      <a:avLst/>
                    </a:prstGeom>
                    <a:noFill/>
                  </pic:spPr>
                </pic:pic>
              </a:graphicData>
            </a:graphic>
          </wp:anchor>
        </w:drawing>
      </w:r>
    </w:p>
    <w:p>
      <w:pPr>
        <w:spacing w:after="0" w:line="5" w:lineRule="exact"/>
        <w:rPr>
          <w:sz w:val="20"/>
          <w:szCs w:val="20"/>
          <w:color w:val="auto"/>
        </w:rPr>
      </w:pPr>
    </w:p>
    <w:p>
      <w:pPr>
        <w:ind w:left="480" w:right="120" w:hanging="480"/>
        <w:spacing w:after="0" w:line="258" w:lineRule="auto"/>
        <w:tabs>
          <w:tab w:leader="none" w:pos="480" w:val="left"/>
        </w:tabs>
        <w:numPr>
          <w:ilvl w:val="0"/>
          <w:numId w:val="2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Acquisition and divestiture-related costs include direct costs resulting from acquiring, integrating, or divesting businesses. These include third-party professional and legal fees, losses on sales of divestitures, and other integration-related costs that would not have otherwise been incurred as part of the Company’s operations.</w:t>
      </w:r>
    </w:p>
    <w:p>
      <w:pPr>
        <w:spacing w:after="0" w:line="78" w:lineRule="exact"/>
        <w:rPr>
          <w:rFonts w:ascii="Times New Roman" w:cs="Times New Roman" w:eastAsia="Times New Roman" w:hAnsi="Times New Roman"/>
          <w:sz w:val="16"/>
          <w:szCs w:val="16"/>
          <w:color w:val="231F20"/>
        </w:rPr>
      </w:pPr>
    </w:p>
    <w:p>
      <w:pPr>
        <w:jc w:val="both"/>
        <w:ind w:left="480" w:right="200" w:hanging="480"/>
        <w:spacing w:after="0" w:line="253" w:lineRule="auto"/>
        <w:tabs>
          <w:tab w:leader="none" w:pos="480" w:val="left"/>
        </w:tabs>
        <w:numPr>
          <w:ilvl w:val="0"/>
          <w:numId w:val="2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Other costs include, as incurred: restructuring costs and restructuring-related severance costs; legal reserves associated with significant, non-ordinary course legal or regulatory matters; and costs related to certain significant strategic transactions. In fiscal 2025, other costs were primarily driven by $9.7 million of severance and $2.5 million relating to legal matters. In fiscal 2024, other costs were primarily driven by $15.8 million of severance and $7.7 relating to legal matters and strategic initiatives.</w:t>
      </w:r>
    </w:p>
    <w:p>
      <w:pPr>
        <w:spacing w:after="0" w:line="81" w:lineRule="exact"/>
        <w:rPr>
          <w:rFonts w:ascii="Times New Roman" w:cs="Times New Roman" w:eastAsia="Times New Roman" w:hAnsi="Times New Roman"/>
          <w:sz w:val="16"/>
          <w:szCs w:val="16"/>
          <w:color w:val="231F20"/>
        </w:rPr>
      </w:pPr>
    </w:p>
    <w:p>
      <w:pPr>
        <w:ind w:left="480" w:right="500" w:hanging="480"/>
        <w:spacing w:after="0" w:line="277" w:lineRule="auto"/>
        <w:tabs>
          <w:tab w:leader="none" w:pos="480" w:val="left"/>
        </w:tabs>
        <w:numPr>
          <w:ilvl w:val="0"/>
          <w:numId w:val="2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define net margin as net income (loss) attributable to Class A and B-1 common stockholders divided by net sales and Adjusted EBITDA margin as Adjusted EBITDA divided by net sales.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Free Cash Flow</w:t>
      </w:r>
    </w:p>
    <w:p>
      <w:pPr>
        <w:spacing w:after="0" w:line="120"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231F20"/>
        </w:rPr>
        <w:t>Free Cash Flow is a non-GAAP financial measure that is calculated as net cash provided by operating activities less cash paid for fixed assets. Management believes that Free Cash Flow, which measures our ability to generate additional cash from our business operations, is an important financial measure for use in evaluating the Company’s financial performance.</w:t>
      </w:r>
    </w:p>
    <w:p>
      <w:pPr>
        <w:spacing w:after="0" w:line="194" w:lineRule="exact"/>
        <w:rPr>
          <w:sz w:val="20"/>
          <w:szCs w:val="20"/>
          <w:color w:val="auto"/>
        </w:rPr>
      </w:pPr>
    </w:p>
    <w:p>
      <w:pPr>
        <w:jc w:val="both"/>
        <w:ind w:right="280" w:firstLine="490"/>
        <w:spacing w:after="0" w:line="258" w:lineRule="auto"/>
        <w:rPr>
          <w:sz w:val="20"/>
          <w:szCs w:val="20"/>
          <w:color w:val="auto"/>
        </w:rPr>
      </w:pPr>
      <w:r>
        <w:rPr>
          <w:rFonts w:ascii="Times New Roman" w:cs="Times New Roman" w:eastAsia="Times New Roman" w:hAnsi="Times New Roman"/>
          <w:sz w:val="20"/>
          <w:szCs w:val="20"/>
          <w:color w:val="231F20"/>
        </w:rPr>
        <w:t>Although other companies report their free cash flow, numerous methods exist for calculating a company’s free cash flow. As a result, the method used by the Company’s management to calculate our Free Cash Flow may differ from the methods used by other companies to calculate their free cash flow.</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table below reflects the calculation of Free Cash Flow for the periods presented: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231F20"/>
                <w:w w:val="98"/>
              </w:rPr>
              <w:t>Fiscal years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8"/>
              </w:rPr>
              <w:t>January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rPr>
              <w:t>February 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February 3,</w:t>
            </w:r>
          </w:p>
        </w:tc>
        <w:tc>
          <w:tcPr>
            <w:tcW w:w="0" w:type="dxa"/>
            <w:vAlign w:val="bottom"/>
          </w:tcPr>
          <w:p>
            <w:pPr>
              <w:spacing w:after="0"/>
              <w:rPr>
                <w:sz w:val="1"/>
                <w:szCs w:val="1"/>
                <w:color w:val="auto"/>
              </w:rPr>
            </w:pPr>
          </w:p>
        </w:tc>
      </w:tr>
      <w:tr>
        <w:trPr>
          <w:trHeight w:val="203"/>
        </w:trPr>
        <w:tc>
          <w:tcPr>
            <w:tcW w:w="43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231F20"/>
              </w:rPr>
              <w:t>(dollars in thousands)</w:t>
            </w:r>
          </w:p>
        </w:tc>
        <w:tc>
          <w:tcPr>
            <w:tcW w:w="106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34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0"/>
              <w:spacing w:after="0" w:line="179" w:lineRule="exact"/>
              <w:rPr>
                <w:sz w:val="20"/>
                <w:szCs w:val="20"/>
                <w:color w:val="auto"/>
              </w:rPr>
            </w:pPr>
            <w:r>
              <w:rPr>
                <w:rFonts w:ascii="Times New Roman" w:cs="Times New Roman" w:eastAsia="Times New Roman" w:hAnsi="Times New Roman"/>
                <w:sz w:val="16"/>
                <w:szCs w:val="16"/>
                <w:b w:val="1"/>
                <w:bCs w:val="1"/>
                <w:color w:val="231F20"/>
              </w:rPr>
              <w:t>(52 weeks)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0"/>
              <w:spacing w:after="0" w:line="179" w:lineRule="exact"/>
              <w:rPr>
                <w:sz w:val="20"/>
                <w:szCs w:val="20"/>
                <w:color w:val="auto"/>
              </w:rPr>
            </w:pPr>
            <w:r>
              <w:rPr>
                <w:rFonts w:ascii="Times New Roman" w:cs="Times New Roman" w:eastAsia="Times New Roman" w:hAnsi="Times New Roman"/>
                <w:sz w:val="16"/>
                <w:szCs w:val="16"/>
                <w:b w:val="1"/>
                <w:bCs w:val="1"/>
                <w:color w:val="231F20"/>
                <w:w w:val="97"/>
              </w:rPr>
              <w:t>(52 weeks)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70"/>
              <w:spacing w:after="0" w:line="179" w:lineRule="exact"/>
              <w:rPr>
                <w:sz w:val="20"/>
                <w:szCs w:val="20"/>
                <w:color w:val="auto"/>
              </w:rPr>
            </w:pPr>
            <w:r>
              <w:rPr>
                <w:rFonts w:ascii="Times New Roman" w:cs="Times New Roman" w:eastAsia="Times New Roman" w:hAnsi="Times New Roman"/>
                <w:sz w:val="16"/>
                <w:szCs w:val="16"/>
                <w:b w:val="1"/>
                <w:bCs w:val="1"/>
                <w:color w:val="231F20"/>
              </w:rPr>
              <w:t>(53 weeks)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Net cash provided by operating activities</w:t>
            </w:r>
          </w:p>
        </w:tc>
        <w:tc>
          <w:tcPr>
            <w:tcW w:w="12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314,050</w:t>
            </w:r>
          </w:p>
        </w:tc>
        <w:tc>
          <w:tcPr>
            <w:tcW w:w="120" w:type="dxa"/>
            <w:vAlign w:val="bottom"/>
            <w:shd w:val="clear" w:color="auto" w:fill="EAEBEC"/>
          </w:tcPr>
          <w:p>
            <w:pPr>
              <w:spacing w:after="0"/>
              <w:rPr>
                <w:sz w:val="20"/>
                <w:szCs w:val="20"/>
                <w:color w:val="auto"/>
              </w:rPr>
            </w:pPr>
          </w:p>
        </w:tc>
        <w:tc>
          <w:tcPr>
            <w:tcW w:w="24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40" w:type="dxa"/>
            <w:vAlign w:val="bottom"/>
            <w:gridSpan w:val="2"/>
            <w:shd w:val="clear" w:color="auto" w:fill="EAEBEC"/>
          </w:tcPr>
          <w:p>
            <w:pPr>
              <w:jc w:val="right"/>
              <w:ind w:right="140"/>
              <w:spacing w:after="0"/>
              <w:rPr>
                <w:sz w:val="20"/>
                <w:szCs w:val="20"/>
                <w:color w:val="auto"/>
              </w:rPr>
            </w:pPr>
            <w:r>
              <w:rPr>
                <w:rFonts w:ascii="Times New Roman" w:cs="Times New Roman" w:eastAsia="Times New Roman" w:hAnsi="Times New Roman"/>
                <w:sz w:val="20"/>
                <w:szCs w:val="20"/>
                <w:color w:val="231F20"/>
              </w:rPr>
              <w:t>177,673</w:t>
            </w:r>
          </w:p>
        </w:tc>
        <w:tc>
          <w:tcPr>
            <w:tcW w:w="22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215,719</w:t>
            </w:r>
          </w:p>
        </w:tc>
        <w:tc>
          <w:tcPr>
            <w:tcW w:w="80" w:type="dxa"/>
            <w:vAlign w:val="bottom"/>
            <w:shd w:val="clear" w:color="auto" w:fill="EAEBE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231F20"/>
              </w:rPr>
              <w:t>Cash paid for fixed assets</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(127,097)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(127,990)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(225,598)</w:t>
            </w:r>
          </w:p>
        </w:tc>
        <w:tc>
          <w:tcPr>
            <w:tcW w:w="0" w:type="dxa"/>
            <w:vAlign w:val="bottom"/>
          </w:tcPr>
          <w:p>
            <w:pPr>
              <w:spacing w:after="0"/>
              <w:rPr>
                <w:sz w:val="1"/>
                <w:szCs w:val="1"/>
                <w:color w:val="auto"/>
              </w:rPr>
            </w:pPr>
          </w:p>
        </w:tc>
      </w:tr>
      <w:tr>
        <w:trPr>
          <w:trHeight w:val="225"/>
        </w:trPr>
        <w:tc>
          <w:tcPr>
            <w:tcW w:w="4340" w:type="dxa"/>
            <w:vAlign w:val="bottom"/>
            <w:tcBorders>
              <w:top w:val="single" w:sz="8" w:color="EAEBEC"/>
            </w:tcBorders>
            <w:shd w:val="clear" w:color="auto" w:fill="EAEB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Free Cash Flow</w:t>
            </w:r>
          </w:p>
        </w:tc>
        <w:tc>
          <w:tcPr>
            <w:tcW w:w="1060" w:type="dxa"/>
            <w:vAlign w:val="bottom"/>
            <w:tcBorders>
              <w:top w:val="single" w:sz="8" w:color="EAEBEC"/>
            </w:tcBorders>
            <w:shd w:val="clear" w:color="auto" w:fill="EAEBEC"/>
          </w:tcPr>
          <w:p>
            <w:pPr>
              <w:spacing w:after="0"/>
              <w:rPr>
                <w:sz w:val="19"/>
                <w:szCs w:val="19"/>
                <w:color w:val="auto"/>
              </w:rPr>
            </w:pPr>
          </w:p>
        </w:tc>
        <w:tc>
          <w:tcPr>
            <w:tcW w:w="140" w:type="dxa"/>
            <w:vAlign w:val="bottom"/>
            <w:tcBorders>
              <w:top w:val="single" w:sz="8" w:color="231F20"/>
              <w:bottom w:val="single" w:sz="8" w:color="231F20"/>
            </w:tcBorders>
            <w:shd w:val="clear" w:color="auto" w:fill="EAEBEC"/>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top w:val="single" w:sz="8" w:color="231F20"/>
              <w:bottom w:val="single" w:sz="8" w:color="231F20"/>
            </w:tcBorders>
            <w:shd w:val="clear" w:color="auto" w:fill="EAEB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186,953</w:t>
            </w:r>
          </w:p>
        </w:tc>
        <w:tc>
          <w:tcPr>
            <w:tcW w:w="120" w:type="dxa"/>
            <w:vAlign w:val="bottom"/>
            <w:tcBorders>
              <w:top w:val="single" w:sz="8" w:color="EAEBEC"/>
            </w:tcBorders>
            <w:shd w:val="clear" w:color="auto" w:fill="EAEBEC"/>
          </w:tcPr>
          <w:p>
            <w:pPr>
              <w:spacing w:after="0"/>
              <w:rPr>
                <w:sz w:val="19"/>
                <w:szCs w:val="19"/>
                <w:color w:val="auto"/>
              </w:rPr>
            </w:pPr>
          </w:p>
        </w:tc>
        <w:tc>
          <w:tcPr>
            <w:tcW w:w="100" w:type="dxa"/>
            <w:vAlign w:val="bottom"/>
            <w:tcBorders>
              <w:top w:val="single" w:sz="8" w:color="EAEBEC"/>
            </w:tcBorders>
            <w:shd w:val="clear" w:color="auto" w:fill="EAEBEC"/>
          </w:tcPr>
          <w:p>
            <w:pPr>
              <w:spacing w:after="0"/>
              <w:rPr>
                <w:sz w:val="19"/>
                <w:szCs w:val="19"/>
                <w:color w:val="auto"/>
              </w:rPr>
            </w:pPr>
          </w:p>
        </w:tc>
        <w:tc>
          <w:tcPr>
            <w:tcW w:w="140" w:type="dxa"/>
            <w:vAlign w:val="bottom"/>
            <w:tcBorders>
              <w:top w:val="single" w:sz="8" w:color="231F20"/>
              <w:bottom w:val="single" w:sz="8" w:color="231F20"/>
            </w:tcBorders>
            <w:shd w:val="clear" w:color="auto" w:fill="EAEBEC"/>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top w:val="single" w:sz="8" w:color="231F20"/>
              <w:bottom w:val="single" w:sz="8" w:color="231F20"/>
            </w:tcBorders>
            <w:shd w:val="clear" w:color="auto" w:fill="EAEB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49,683</w:t>
            </w:r>
          </w:p>
        </w:tc>
        <w:tc>
          <w:tcPr>
            <w:tcW w:w="140" w:type="dxa"/>
            <w:vAlign w:val="bottom"/>
            <w:tcBorders>
              <w:top w:val="single" w:sz="8" w:color="EAEBEC"/>
            </w:tcBorders>
            <w:shd w:val="clear" w:color="auto" w:fill="EAEBEC"/>
          </w:tcPr>
          <w:p>
            <w:pPr>
              <w:spacing w:after="0"/>
              <w:rPr>
                <w:sz w:val="19"/>
                <w:szCs w:val="19"/>
                <w:color w:val="auto"/>
              </w:rPr>
            </w:pPr>
          </w:p>
        </w:tc>
        <w:tc>
          <w:tcPr>
            <w:tcW w:w="80" w:type="dxa"/>
            <w:vAlign w:val="bottom"/>
            <w:tcBorders>
              <w:top w:val="single" w:sz="8" w:color="EAEBEC"/>
            </w:tcBorders>
            <w:shd w:val="clear" w:color="auto" w:fill="EAEBEC"/>
          </w:tcPr>
          <w:p>
            <w:pPr>
              <w:spacing w:after="0"/>
              <w:rPr>
                <w:sz w:val="19"/>
                <w:szCs w:val="19"/>
                <w:color w:val="auto"/>
              </w:rPr>
            </w:pPr>
          </w:p>
        </w:tc>
        <w:tc>
          <w:tcPr>
            <w:tcW w:w="140" w:type="dxa"/>
            <w:vAlign w:val="bottom"/>
            <w:tcBorders>
              <w:top w:val="single" w:sz="8" w:color="231F20"/>
              <w:bottom w:val="single" w:sz="8" w:color="231F20"/>
            </w:tcBorders>
            <w:shd w:val="clear" w:color="auto" w:fill="EAEBEC"/>
          </w:tcPr>
          <w:p>
            <w:pPr>
              <w:jc w:val="right"/>
              <w:spacing w:after="0" w:line="225" w:lineRule="exact"/>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tcBorders>
              <w:top w:val="single" w:sz="8" w:color="231F20"/>
              <w:bottom w:val="single" w:sz="8" w:color="231F20"/>
            </w:tcBorders>
            <w:shd w:val="clear" w:color="auto" w:fill="EAEBEC"/>
          </w:tcPr>
          <w:p>
            <w:pPr>
              <w:jc w:val="right"/>
              <w:spacing w:after="0" w:line="225" w:lineRule="exact"/>
              <w:rPr>
                <w:sz w:val="20"/>
                <w:szCs w:val="20"/>
                <w:color w:val="auto"/>
              </w:rPr>
            </w:pPr>
            <w:r>
              <w:rPr>
                <w:rFonts w:ascii="Times New Roman" w:cs="Times New Roman" w:eastAsia="Times New Roman" w:hAnsi="Times New Roman"/>
                <w:sz w:val="20"/>
                <w:szCs w:val="20"/>
                <w:color w:val="231F20"/>
              </w:rPr>
              <w:t>(9,879)</w:t>
            </w:r>
          </w:p>
        </w:tc>
        <w:tc>
          <w:tcPr>
            <w:tcW w:w="80" w:type="dxa"/>
            <w:vAlign w:val="bottom"/>
            <w:tcBorders>
              <w:top w:val="single" w:sz="8" w:color="EAEBEC"/>
            </w:tcBorders>
            <w:shd w:val="clear" w:color="auto" w:fill="EAEBE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-859155</wp:posOffset>
            </wp:positionV>
            <wp:extent cx="249428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a:extLst>
                        <a:ext uri="{28A0092B-C50C-407E-A947-70E740481C1C}"/>
                      </a:extLst>
                    </a:blip>
                    <a:srcRect/>
                    <a:stretch>
                      <a:fillRect/>
                    </a:stretch>
                  </pic:blipFill>
                  <pic:spPr bwMode="auto">
                    <a:xfrm>
                      <a:off x="0" y="0"/>
                      <a:ext cx="2494280" cy="38100"/>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Overview</w:t>
      </w:r>
    </w:p>
    <w:p>
      <w:pPr>
        <w:spacing w:after="0" w:line="97" w:lineRule="exact"/>
        <w:rPr>
          <w:sz w:val="20"/>
          <w:szCs w:val="20"/>
          <w:color w:val="auto"/>
        </w:rPr>
      </w:pPr>
    </w:p>
    <w:p>
      <w:pPr>
        <w:ind w:right="40" w:firstLine="490"/>
        <w:spacing w:after="0" w:line="235" w:lineRule="auto"/>
        <w:rPr>
          <w:sz w:val="20"/>
          <w:szCs w:val="20"/>
          <w:color w:val="auto"/>
        </w:rPr>
      </w:pPr>
      <w:r>
        <w:rPr>
          <w:rFonts w:ascii="Times New Roman" w:cs="Times New Roman" w:eastAsia="Times New Roman" w:hAnsi="Times New Roman"/>
          <w:sz w:val="19"/>
          <w:szCs w:val="19"/>
          <w:color w:val="231F20"/>
        </w:rPr>
        <w:t>Our primary sources of liquidity are funds generated by operating activities and available capacity for borrowings on our $ 581 million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January 31, 2026 was $724.2 million inclusive of cash and cash equivalents of $256.7 million and $467.5 million of availability on the ABL Revolving Credit Facility. We believe that our current resources, together with anticipated cash flows from operations and borrowing capacity under the ABL Revolving Credit Facility, will be sufficient to finance our operations, meet our</w:t>
      </w:r>
    </w:p>
    <w:p>
      <w:pPr>
        <w:sectPr>
          <w:pgSz w:w="11880" w:h="15480" w:orient="portrait"/>
          <w:cols w:equalWidth="0" w:num="1">
            <w:col w:w="9360"/>
          </w:cols>
          <w:pgMar w:left="1260" w:top="1126" w:right="1260" w:bottom="0" w:gutter="0" w:footer="0" w:header="0"/>
        </w:sect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9360"/>
          </w:cols>
          <w:pgMar w:left="1260" w:top="1126" w:right="1260" w:bottom="0" w:gutter="0" w:footer="0" w:header="0"/>
          <w:type w:val="continuous"/>
        </w:sectPr>
      </w:pPr>
    </w:p>
    <w:bookmarkStart w:id="64" w:name="page65"/>
    <w:bookmarkEnd w:id="64"/>
    <w:p>
      <w:pPr>
        <w:ind w:right="340"/>
        <w:spacing w:after="0" w:line="236" w:lineRule="auto"/>
        <w:rPr>
          <w:sz w:val="20"/>
          <w:szCs w:val="20"/>
          <w:color w:val="auto"/>
        </w:rPr>
      </w:pPr>
      <w:r>
        <w:rPr>
          <w:rFonts w:ascii="Times New Roman" w:cs="Times New Roman" w:eastAsia="Times New Roman" w:hAnsi="Times New Roman"/>
          <w:sz w:val="20"/>
          <w:szCs w:val="20"/>
          <w:color w:val="231F20"/>
        </w:rPr>
        <w:t>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pacing w:after="0" w:line="183" w:lineRule="exact"/>
        <w:rPr>
          <w:sz w:val="20"/>
          <w:szCs w:val="20"/>
          <w:color w:val="auto"/>
        </w:rPr>
      </w:pPr>
    </w:p>
    <w:p>
      <w:pPr>
        <w:ind w:right="40" w:firstLine="490"/>
        <w:spacing w:after="0" w:line="222" w:lineRule="auto"/>
        <w:rPr>
          <w:sz w:val="20"/>
          <w:szCs w:val="20"/>
          <w:color w:val="auto"/>
        </w:rPr>
      </w:pPr>
      <w:r>
        <w:rPr>
          <w:rFonts w:ascii="Times New Roman" w:cs="Times New Roman" w:eastAsia="Times New Roman" w:hAnsi="Times New Roman"/>
          <w:sz w:val="20"/>
          <w:szCs w:val="20"/>
          <w:color w:val="231F20"/>
        </w:rPr>
        <w:t>We are a party to contractual obligations involving commitments to make payments to third parties. These obligations impact our short-term and long-term liquidity and capital resource needs. Certain contractual obligations are reflected on the consolidated balance sheet as of January 31, 2026, while others are considered future obligations. Our contractual obligations primarily consist of operating leases and long-term debt and related interest payments. We also enter certain short-term lease commitments, letters of credit and purchase obligations in the normal course of business. Refer to Note 5, “Leases,” and Note 7, “Senior Secured Credit Facilities,” in the Notes to Consolidated Financial Statements included in Part II, Item 8 of this Annual Report on Form 10-K for amounts outstanding as of January 31, 2026 related to operating leases and debt, respectively. Refer also to further discussion on our debt refinancing transaction in “Sources of Liquidity” below.</w:t>
      </w:r>
    </w:p>
    <w:p>
      <w:pPr>
        <w:spacing w:after="0" w:line="188" w:lineRule="exact"/>
        <w:rPr>
          <w:sz w:val="20"/>
          <w:szCs w:val="20"/>
          <w:color w:val="auto"/>
        </w:rPr>
      </w:pPr>
    </w:p>
    <w:p>
      <w:pPr>
        <w:ind w:right="40" w:firstLine="490"/>
        <w:spacing w:after="0" w:line="238" w:lineRule="auto"/>
        <w:rPr>
          <w:sz w:val="20"/>
          <w:szCs w:val="20"/>
          <w:color w:val="auto"/>
        </w:rPr>
      </w:pPr>
      <w:r>
        <w:rPr>
          <w:rFonts w:ascii="Times New Roman" w:cs="Times New Roman" w:eastAsia="Times New Roman" w:hAnsi="Times New Roman"/>
          <w:sz w:val="19"/>
          <w:szCs w:val="19"/>
          <w:color w:val="231F20"/>
        </w:rPr>
        <w:t>Purchase obligations and commitments consist of open purchase orders, as well as non-cancellable commitments for information technology, marketing and other products and services used in the normal course of business. We also have a commitment for naming rights to a baseball stadium. Refer to Note 14, “Commitments and Contingencies—Baseball Stadium Naming Rights Commitment” in the Notes to Consolidated Financial Statements included in Part II, Item 8 of this Annual Report on Form 10-K for more information. As of January 31, 2026, our purchase obligations and commitments were $372.8 million of which $319.8 million is considered short-term.</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Flows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following table summarizes our consolidated cash flows: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w w:val="98"/>
              </w:rPr>
              <w:t>Fiscal years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8"/>
              </w:rPr>
              <w:t>January 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rPr>
              <w:t>February 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February 3,</w:t>
            </w:r>
          </w:p>
        </w:tc>
        <w:tc>
          <w:tcPr>
            <w:tcW w:w="0" w:type="dxa"/>
            <w:vAlign w:val="bottom"/>
          </w:tcPr>
          <w:p>
            <w:pPr>
              <w:spacing w:after="0"/>
              <w:rPr>
                <w:sz w:val="1"/>
                <w:szCs w:val="1"/>
                <w:color w:val="auto"/>
              </w:rPr>
            </w:pPr>
          </w:p>
        </w:tc>
      </w:tr>
      <w:tr>
        <w:trPr>
          <w:trHeight w:val="203"/>
        </w:trPr>
        <w:tc>
          <w:tcPr>
            <w:tcW w:w="540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(dollars in thousands)</w:t>
            </w:r>
          </w:p>
        </w:tc>
        <w:tc>
          <w:tcPr>
            <w:tcW w:w="14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jc w:val="center"/>
              <w:ind w:right="69"/>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Total cash provided by (used in):</w:t>
            </w:r>
          </w:p>
        </w:tc>
        <w:tc>
          <w:tcPr>
            <w:tcW w:w="140" w:type="dxa"/>
            <w:vAlign w:val="bottom"/>
          </w:tcPr>
          <w:p>
            <w:pPr>
              <w:spacing w:after="0"/>
              <w:rPr>
                <w:sz w:val="18"/>
                <w:szCs w:val="18"/>
                <w:color w:val="auto"/>
              </w:rPr>
            </w:pPr>
          </w:p>
        </w:tc>
        <w:tc>
          <w:tcPr>
            <w:tcW w:w="102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231F20"/>
                <w:w w:val="97"/>
              </w:rPr>
              <w:t>(52 weeks)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231F20"/>
              </w:rPr>
              <w:t>(53 weeks)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Operating activities</w:t>
            </w:r>
          </w:p>
        </w:tc>
        <w:tc>
          <w:tcPr>
            <w:tcW w:w="1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314,050</w:t>
            </w:r>
          </w:p>
        </w:tc>
        <w:tc>
          <w:tcPr>
            <w:tcW w:w="100" w:type="dxa"/>
            <w:vAlign w:val="bottom"/>
            <w:shd w:val="clear" w:color="auto" w:fill="EAEBEC"/>
          </w:tcPr>
          <w:p>
            <w:pPr>
              <w:spacing w:after="0"/>
              <w:rPr>
                <w:sz w:val="20"/>
                <w:szCs w:val="20"/>
                <w:color w:val="auto"/>
              </w:rPr>
            </w:pPr>
          </w:p>
        </w:tc>
        <w:tc>
          <w:tcPr>
            <w:tcW w:w="260" w:type="dxa"/>
            <w:vAlign w:val="bottom"/>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177,673</w:t>
            </w:r>
          </w:p>
        </w:tc>
        <w:tc>
          <w:tcPr>
            <w:tcW w:w="140" w:type="dxa"/>
            <w:vAlign w:val="bottom"/>
            <w:shd w:val="clear" w:color="auto" w:fill="EAEBEC"/>
          </w:tcPr>
          <w:p>
            <w:pPr>
              <w:spacing w:after="0"/>
              <w:rPr>
                <w:sz w:val="20"/>
                <w:szCs w:val="20"/>
                <w:color w:val="auto"/>
              </w:rPr>
            </w:pPr>
          </w:p>
        </w:tc>
        <w:tc>
          <w:tcPr>
            <w:tcW w:w="20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215,719</w:t>
            </w:r>
          </w:p>
        </w:tc>
        <w:tc>
          <w:tcPr>
            <w:tcW w:w="80" w:type="dxa"/>
            <w:vAlign w:val="bottom"/>
            <w:shd w:val="clear" w:color="auto" w:fill="EAEBE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231F20"/>
              </w:rPr>
              <w:t>Investing activities</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(124,556)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(123,903)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(207,445)</w:t>
            </w:r>
          </w:p>
        </w:tc>
        <w:tc>
          <w:tcPr>
            <w:tcW w:w="0" w:type="dxa"/>
            <w:vAlign w:val="bottom"/>
          </w:tcPr>
          <w:p>
            <w:pPr>
              <w:spacing w:after="0"/>
              <w:rPr>
                <w:sz w:val="1"/>
                <w:szCs w:val="1"/>
                <w:color w:val="auto"/>
              </w:rPr>
            </w:pPr>
          </w:p>
        </w:tc>
      </w:tr>
      <w:tr>
        <w:trPr>
          <w:trHeight w:val="230"/>
        </w:trPr>
        <w:tc>
          <w:tcPr>
            <w:tcW w:w="5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Financing activities</w:t>
            </w:r>
          </w:p>
        </w:tc>
        <w:tc>
          <w:tcPr>
            <w:tcW w:w="140" w:type="dxa"/>
            <w:vAlign w:val="bottom"/>
            <w:shd w:val="clear" w:color="auto" w:fill="EAEBEC"/>
          </w:tcPr>
          <w:p>
            <w:pPr>
              <w:spacing w:after="0"/>
              <w:rPr>
                <w:sz w:val="20"/>
                <w:szCs w:val="20"/>
                <w:color w:val="auto"/>
              </w:rPr>
            </w:pPr>
          </w:p>
        </w:tc>
        <w:tc>
          <w:tcPr>
            <w:tcW w:w="1120" w:type="dxa"/>
            <w:vAlign w:val="bottom"/>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20"/>
                <w:szCs w:val="20"/>
                <w:color w:val="231F20"/>
              </w:rPr>
              <w:t>(101,747)</w:t>
            </w:r>
          </w:p>
        </w:tc>
        <w:tc>
          <w:tcPr>
            <w:tcW w:w="12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114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rPr>
              <w:t>(8,754)</w:t>
            </w:r>
          </w:p>
        </w:tc>
        <w:tc>
          <w:tcPr>
            <w:tcW w:w="80" w:type="dxa"/>
            <w:vAlign w:val="bottom"/>
            <w:shd w:val="clear" w:color="auto" w:fill="EAEBEC"/>
          </w:tcPr>
          <w:p>
            <w:pPr>
              <w:spacing w:after="0"/>
              <w:rPr>
                <w:sz w:val="20"/>
                <w:szCs w:val="20"/>
                <w:color w:val="auto"/>
              </w:rPr>
            </w:pPr>
          </w:p>
        </w:tc>
        <w:tc>
          <w:tcPr>
            <w:tcW w:w="120" w:type="dxa"/>
            <w:vAlign w:val="bottom"/>
            <w:shd w:val="clear" w:color="auto" w:fill="EAEBEC"/>
          </w:tcPr>
          <w:p>
            <w:pPr>
              <w:spacing w:after="0"/>
              <w:rPr>
                <w:sz w:val="20"/>
                <w:szCs w:val="20"/>
                <w:color w:val="auto"/>
              </w:rPr>
            </w:pPr>
          </w:p>
        </w:tc>
        <w:tc>
          <w:tcPr>
            <w:tcW w:w="110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(85,352)</w:t>
            </w:r>
          </w:p>
        </w:tc>
        <w:tc>
          <w:tcPr>
            <w:tcW w:w="0" w:type="dxa"/>
            <w:vAlign w:val="bottom"/>
          </w:tcPr>
          <w:p>
            <w:pPr>
              <w:spacing w:after="0"/>
              <w:rPr>
                <w:sz w:val="1"/>
                <w:szCs w:val="1"/>
                <w:color w:val="auto"/>
              </w:rPr>
            </w:pPr>
          </w:p>
        </w:tc>
      </w:tr>
      <w:tr>
        <w:trPr>
          <w:trHeight w:val="205"/>
        </w:trPr>
        <w:tc>
          <w:tcPr>
            <w:tcW w:w="5400" w:type="dxa"/>
            <w:vAlign w:val="bottom"/>
          </w:tcPr>
          <w:p>
            <w:pPr>
              <w:spacing w:after="0" w:line="206" w:lineRule="exact"/>
              <w:rPr>
                <w:sz w:val="20"/>
                <w:szCs w:val="20"/>
                <w:color w:val="auto"/>
              </w:rPr>
            </w:pPr>
            <w:r>
              <w:rPr>
                <w:rFonts w:ascii="Times New Roman" w:cs="Times New Roman" w:eastAsia="Times New Roman" w:hAnsi="Times New Roman"/>
                <w:sz w:val="20"/>
                <w:szCs w:val="20"/>
                <w:color w:val="231F20"/>
              </w:rPr>
              <w:t>Net increase (decrease) in cash, cash equivalents</w:t>
            </w:r>
          </w:p>
        </w:tc>
        <w:tc>
          <w:tcPr>
            <w:tcW w:w="140" w:type="dxa"/>
            <w:vAlign w:val="bottom"/>
            <w:tcBorders>
              <w:top w:val="single" w:sz="8" w:color="231F20"/>
            </w:tcBorders>
          </w:tcPr>
          <w:p>
            <w:pPr>
              <w:spacing w:after="0"/>
              <w:rPr>
                <w:sz w:val="17"/>
                <w:szCs w:val="17"/>
                <w:color w:val="auto"/>
              </w:rPr>
            </w:pPr>
          </w:p>
        </w:tc>
        <w:tc>
          <w:tcPr>
            <w:tcW w:w="1020" w:type="dxa"/>
            <w:vAlign w:val="bottom"/>
            <w:tcBorders>
              <w:top w:val="single" w:sz="8" w:color="231F20"/>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231F20"/>
            </w:tcBorders>
          </w:tcPr>
          <w:p>
            <w:pPr>
              <w:spacing w:after="0"/>
              <w:rPr>
                <w:sz w:val="17"/>
                <w:szCs w:val="17"/>
                <w:color w:val="auto"/>
              </w:rPr>
            </w:pPr>
          </w:p>
        </w:tc>
        <w:tc>
          <w:tcPr>
            <w:tcW w:w="1000" w:type="dxa"/>
            <w:vAlign w:val="bottom"/>
            <w:tcBorders>
              <w:top w:val="single" w:sz="8" w:color="231F20"/>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231F20"/>
            </w:tcBorders>
          </w:tcPr>
          <w:p>
            <w:pPr>
              <w:spacing w:after="0"/>
              <w:rPr>
                <w:sz w:val="17"/>
                <w:szCs w:val="17"/>
                <w:color w:val="auto"/>
              </w:rPr>
            </w:pPr>
          </w:p>
        </w:tc>
        <w:tc>
          <w:tcPr>
            <w:tcW w:w="1020" w:type="dxa"/>
            <w:vAlign w:val="bottom"/>
            <w:tcBorders>
              <w:top w:val="single" w:sz="8" w:color="231F20"/>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and restricted cash</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87,747</w:t>
            </w:r>
          </w:p>
        </w:tc>
        <w:tc>
          <w:tcPr>
            <w:tcW w:w="10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45,016</w:t>
            </w:r>
          </w:p>
        </w:tc>
        <w:tc>
          <w:tcPr>
            <w:tcW w:w="140" w:type="dxa"/>
            <w:vAlign w:val="bottom"/>
          </w:tcPr>
          <w:p>
            <w:pPr>
              <w:spacing w:after="0"/>
              <w:rPr>
                <w:sz w:val="21"/>
                <w:szCs w:val="21"/>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(77,078)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-1297940</wp:posOffset>
            </wp:positionV>
            <wp:extent cx="249682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a:extLst>
                        <a:ext uri="{28A0092B-C50C-407E-A947-70E740481C1C}"/>
                      </a:extLst>
                    </a:blip>
                    <a:srcRect/>
                    <a:stretch>
                      <a:fillRect/>
                    </a:stretch>
                  </pic:blipFill>
                  <pic:spPr bwMode="auto">
                    <a:xfrm>
                      <a:off x="0" y="0"/>
                      <a:ext cx="2496820" cy="3810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Activities</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income (loss) adjusted for certain non-cash items, including: depreciation, amortization, impairments and write-offs; amortization of debt discounts and issuance costs; deferred income taxes; equity-based compensation; impairments of goodwill and intangible assets; other non-operating income; and the effect of changes in operating assets and liabilities.</w:t>
      </w:r>
    </w:p>
    <w:p>
      <w:pPr>
        <w:spacing w:after="0" w:line="206"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Net cash provided by operating activities was $314.1 million in fiscal 2025 compared with net cash provided by operating activities of $ 177.7 million in fiscal 2024. The increase in operating cash flows were primarily driven by a decrease in inventory purchases, lower </w:t>
      </w:r>
      <w:r>
        <w:rPr>
          <w:rFonts w:ascii="Times New Roman" w:cs="Times New Roman" w:eastAsia="Times New Roman" w:hAnsi="Times New Roman"/>
          <w:sz w:val="19"/>
          <w:szCs w:val="19"/>
          <w:color w:val="231F20"/>
        </w:rPr>
        <w:t>cash paid for operating leases, lower cash paid for income taxes,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 xml:space="preserve">lower operational costs, such as consulting fees. This was partially offset by lower sales and higher payouts of prior year accrued incentive bonuses as well as </w:t>
      </w:r>
      <w:r>
        <w:rPr>
          <w:rFonts w:ascii="Times New Roman" w:cs="Times New Roman" w:eastAsia="Times New Roman" w:hAnsi="Times New Roman"/>
          <w:sz w:val="20"/>
          <w:szCs w:val="20"/>
          <w:color w:val="231F20"/>
        </w:rPr>
        <w:t>timing of invoice payments.</w:t>
      </w:r>
    </w:p>
    <w:p>
      <w:pPr>
        <w:spacing w:after="0" w:line="196"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Net cash provided by operating activities was $177.7 million in fiscal 2024 compared with $215.7 million in fiscal 2023. The decrease in operating cash flows were primarily driven by lower sales and the timing of invoice payments. This was partially offset by decreases in inventory purchases, advertising, freight, and cash paid for operating leases.</w:t>
      </w:r>
    </w:p>
    <w:p>
      <w:pPr>
        <w:sectPr>
          <w:pgSz w:w="11880" w:h="15480" w:orient="portrait"/>
          <w:cols w:equalWidth="0" w:num="1">
            <w:col w:w="9360"/>
          </w:cols>
          <w:pgMar w:left="1260" w:top="86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9360"/>
          </w:cols>
          <w:pgMar w:left="1260" w:top="861" w:right="126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i w:val="1"/>
          <w:iCs w:val="1"/>
          <w:color w:val="231F20"/>
        </w:rPr>
        <w:t>Investing Activities</w:t>
      </w:r>
    </w:p>
    <w:p>
      <w:pPr>
        <w:spacing w:after="0" w:line="28" w:lineRule="exact"/>
        <w:rPr>
          <w:sz w:val="20"/>
          <w:szCs w:val="20"/>
          <w:color w:val="auto"/>
        </w:rPr>
      </w:pPr>
    </w:p>
    <w:p>
      <w:pPr>
        <w:ind w:right="80" w:firstLine="180"/>
        <w:spacing w:after="0" w:line="248" w:lineRule="auto"/>
        <w:rPr>
          <w:sz w:val="20"/>
          <w:szCs w:val="20"/>
          <w:color w:val="auto"/>
        </w:rPr>
      </w:pPr>
      <w:r>
        <w:rPr>
          <w:rFonts w:ascii="Times New Roman" w:cs="Times New Roman" w:eastAsia="Times New Roman" w:hAnsi="Times New Roman"/>
          <w:sz w:val="20"/>
          <w:szCs w:val="20"/>
          <w:color w:val="231F20"/>
        </w:rPr>
        <w:t>Net cash used in investing activities was $124.6 million, $123.9 million, and $207.4 million for fiscal 2025, fiscal 2024, and fiscal 2023, respectively, and consisted primarily of capital expenditures to support our business.</w:t>
      </w:r>
    </w:p>
    <w:p>
      <w:pPr>
        <w:spacing w:after="0" w:line="197"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231F20"/>
        </w:rPr>
        <w:t>Capital expenditures were relatively even between fiscal 2025 and fiscal 2024. In fiscal 2026, we expect to spend approximately $140 million in capital expenditures.</w:t>
      </w:r>
    </w:p>
    <w:p>
      <w:pPr>
        <w:spacing w:after="0" w:line="169" w:lineRule="exact"/>
        <w:rPr>
          <w:sz w:val="20"/>
          <w:szCs w:val="20"/>
          <w:color w:val="auto"/>
        </w:rPr>
      </w:pPr>
    </w:p>
    <w:p>
      <w:pPr>
        <w:jc w:val="both"/>
        <w:ind w:right="200" w:firstLine="490"/>
        <w:spacing w:after="0" w:line="277" w:lineRule="auto"/>
        <w:rPr>
          <w:sz w:val="20"/>
          <w:szCs w:val="20"/>
          <w:color w:val="auto"/>
        </w:rPr>
      </w:pPr>
      <w:r>
        <w:rPr>
          <w:rFonts w:ascii="Times New Roman" w:cs="Times New Roman" w:eastAsia="Times New Roman" w:hAnsi="Times New Roman"/>
          <w:sz w:val="20"/>
          <w:szCs w:val="20"/>
          <w:color w:val="231F20"/>
        </w:rPr>
        <w:t>The decrease in capital expenditures between fiscal 2024 and fiscal 2023 was primarily driven by reductions in new pet care centers and hospitals.</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Capital expenditures by category during the periods set forth below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Fiscal years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4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67"/>
              <w:spacing w:after="0"/>
              <w:rPr>
                <w:sz w:val="20"/>
                <w:szCs w:val="20"/>
                <w:color w:val="auto"/>
              </w:rPr>
            </w:pPr>
            <w:r>
              <w:rPr>
                <w:rFonts w:ascii="Times New Roman" w:cs="Times New Roman" w:eastAsia="Times New Roman" w:hAnsi="Times New Roman"/>
                <w:sz w:val="16"/>
                <w:szCs w:val="16"/>
                <w:b w:val="1"/>
                <w:bCs w:val="1"/>
                <w:color w:val="231F20"/>
              </w:rPr>
              <w:t>January 31,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February 3,</w:t>
            </w:r>
          </w:p>
        </w:tc>
      </w:tr>
      <w:tr>
        <w:trPr>
          <w:trHeight w:val="203"/>
        </w:trPr>
        <w:tc>
          <w:tcPr>
            <w:tcW w:w="412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(dollars in thousands)</w:t>
            </w:r>
          </w:p>
        </w:tc>
        <w:tc>
          <w:tcPr>
            <w:tcW w:w="128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2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60" w:type="dxa"/>
            <w:vAlign w:val="bottom"/>
          </w:tcPr>
          <w:p>
            <w:pPr>
              <w:spacing w:after="0"/>
              <w:rPr>
                <w:sz w:val="17"/>
                <w:szCs w:val="17"/>
                <w:color w:val="auto"/>
              </w:rPr>
            </w:pPr>
          </w:p>
        </w:tc>
      </w:tr>
      <w:tr>
        <w:trPr>
          <w:trHeight w:val="220"/>
        </w:trPr>
        <w:tc>
          <w:tcPr>
            <w:tcW w:w="41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New and existing pet care center</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41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locations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54,060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46,084</w:t>
            </w:r>
          </w:p>
        </w:tc>
        <w:tc>
          <w:tcPr>
            <w:tcW w:w="1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121,815</w:t>
            </w:r>
          </w:p>
        </w:tc>
        <w:tc>
          <w:tcPr>
            <w:tcW w:w="60" w:type="dxa"/>
            <w:vAlign w:val="bottom"/>
          </w:tcPr>
          <w:p>
            <w:pPr>
              <w:spacing w:after="0"/>
              <w:rPr>
                <w:sz w:val="21"/>
                <w:szCs w:val="21"/>
                <w:color w:val="auto"/>
              </w:rPr>
            </w:pPr>
          </w:p>
        </w:tc>
      </w:tr>
      <w:tr>
        <w:trPr>
          <w:trHeight w:val="244"/>
        </w:trPr>
        <w:tc>
          <w:tcPr>
            <w:tcW w:w="41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Digital and information technology</w:t>
            </w:r>
          </w:p>
        </w:tc>
        <w:tc>
          <w:tcPr>
            <w:tcW w:w="128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53,572</w:t>
            </w:r>
          </w:p>
        </w:tc>
        <w:tc>
          <w:tcPr>
            <w:tcW w:w="22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51,948</w:t>
            </w:r>
          </w:p>
        </w:tc>
        <w:tc>
          <w:tcPr>
            <w:tcW w:w="14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70,598</w:t>
            </w:r>
          </w:p>
        </w:tc>
        <w:tc>
          <w:tcPr>
            <w:tcW w:w="60" w:type="dxa"/>
            <w:vAlign w:val="bottom"/>
            <w:shd w:val="clear" w:color="auto" w:fill="EAEBEC"/>
          </w:tcPr>
          <w:p>
            <w:pPr>
              <w:spacing w:after="0"/>
              <w:rPr>
                <w:sz w:val="21"/>
                <w:szCs w:val="21"/>
                <w:color w:val="auto"/>
              </w:rPr>
            </w:pPr>
          </w:p>
        </w:tc>
      </w:tr>
      <w:tr>
        <w:trPr>
          <w:trHeight w:val="244"/>
        </w:trPr>
        <w:tc>
          <w:tcPr>
            <w:tcW w:w="412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Supply chain and other</w:t>
            </w:r>
          </w:p>
        </w:tc>
        <w:tc>
          <w:tcPr>
            <w:tcW w:w="1280" w:type="dxa"/>
            <w:vAlign w:val="bottom"/>
            <w:tcBorders>
              <w:bottom w:val="single" w:sz="8" w:color="EAEBEC"/>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19,465</w:t>
            </w:r>
          </w:p>
        </w:tc>
        <w:tc>
          <w:tcPr>
            <w:tcW w:w="220" w:type="dxa"/>
            <w:vAlign w:val="bottom"/>
            <w:tcBorders>
              <w:bottom w:val="single" w:sz="8" w:color="EAEBEC"/>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29,958</w:t>
            </w:r>
          </w:p>
        </w:tc>
        <w:tc>
          <w:tcPr>
            <w:tcW w:w="140" w:type="dxa"/>
            <w:vAlign w:val="bottom"/>
            <w:tcBorders>
              <w:bottom w:val="single" w:sz="8" w:color="EAEBEC"/>
            </w:tcBorders>
          </w:tcPr>
          <w:p>
            <w:pPr>
              <w:spacing w:after="0"/>
              <w:rPr>
                <w:sz w:val="21"/>
                <w:szCs w:val="21"/>
                <w:color w:val="auto"/>
              </w:rPr>
            </w:pPr>
          </w:p>
        </w:tc>
        <w:tc>
          <w:tcPr>
            <w:tcW w:w="80" w:type="dxa"/>
            <w:vAlign w:val="bottom"/>
            <w:tcBorders>
              <w:bottom w:val="single" w:sz="8" w:color="EAEBEC"/>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33,185</w:t>
            </w:r>
          </w:p>
        </w:tc>
        <w:tc>
          <w:tcPr>
            <w:tcW w:w="60" w:type="dxa"/>
            <w:vAlign w:val="bottom"/>
            <w:tcBorders>
              <w:bottom w:val="single" w:sz="8" w:color="EAEBEC"/>
            </w:tcBorders>
          </w:tcPr>
          <w:p>
            <w:pPr>
              <w:spacing w:after="0"/>
              <w:rPr>
                <w:sz w:val="21"/>
                <w:szCs w:val="21"/>
                <w:color w:val="auto"/>
              </w:rPr>
            </w:pPr>
          </w:p>
        </w:tc>
      </w:tr>
      <w:tr>
        <w:trPr>
          <w:trHeight w:val="259"/>
        </w:trPr>
        <w:tc>
          <w:tcPr>
            <w:tcW w:w="4120" w:type="dxa"/>
            <w:vAlign w:val="bottom"/>
            <w:tcBorders>
              <w:bottom w:val="single" w:sz="8" w:color="EAEBEC"/>
            </w:tcBorders>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Total capital expenditures</w:t>
            </w:r>
          </w:p>
        </w:tc>
        <w:tc>
          <w:tcPr>
            <w:tcW w:w="1280" w:type="dxa"/>
            <w:vAlign w:val="bottom"/>
            <w:tcBorders>
              <w:bottom w:val="single" w:sz="8" w:color="EAEBEC"/>
            </w:tcBorders>
            <w:shd w:val="clear" w:color="auto" w:fill="EAEBEC"/>
          </w:tcPr>
          <w:p>
            <w:pPr>
              <w:spacing w:after="0"/>
              <w:rPr>
                <w:sz w:val="22"/>
                <w:szCs w:val="22"/>
                <w:color w:val="auto"/>
              </w:rPr>
            </w:pPr>
          </w:p>
        </w:tc>
        <w:tc>
          <w:tcPr>
            <w:tcW w:w="1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127,097</w:t>
            </w:r>
          </w:p>
        </w:tc>
        <w:tc>
          <w:tcPr>
            <w:tcW w:w="220" w:type="dxa"/>
            <w:vAlign w:val="bottom"/>
            <w:tcBorders>
              <w:bottom w:val="single" w:sz="8" w:color="EAEBEC"/>
            </w:tcBorders>
            <w:shd w:val="clear" w:color="auto" w:fill="EAEBEC"/>
          </w:tcPr>
          <w:p>
            <w:pPr>
              <w:spacing w:after="0"/>
              <w:rPr>
                <w:sz w:val="22"/>
                <w:szCs w:val="22"/>
                <w:color w:val="auto"/>
              </w:rPr>
            </w:pPr>
          </w:p>
        </w:tc>
        <w:tc>
          <w:tcPr>
            <w:tcW w:w="1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127,990</w:t>
            </w:r>
          </w:p>
        </w:tc>
        <w:tc>
          <w:tcPr>
            <w:tcW w:w="140" w:type="dxa"/>
            <w:vAlign w:val="bottom"/>
            <w:tcBorders>
              <w:bottom w:val="single" w:sz="8" w:color="EAEBEC"/>
            </w:tcBorders>
            <w:shd w:val="clear" w:color="auto" w:fill="EAEBEC"/>
          </w:tcPr>
          <w:p>
            <w:pPr>
              <w:spacing w:after="0"/>
              <w:rPr>
                <w:sz w:val="22"/>
                <w:szCs w:val="22"/>
                <w:color w:val="auto"/>
              </w:rPr>
            </w:pPr>
          </w:p>
        </w:tc>
        <w:tc>
          <w:tcPr>
            <w:tcW w:w="80" w:type="dxa"/>
            <w:vAlign w:val="bottom"/>
            <w:tcBorders>
              <w:bottom w:val="single" w:sz="8" w:color="EAEBEC"/>
            </w:tcBorders>
            <w:shd w:val="clear" w:color="auto" w:fill="EAEBEC"/>
          </w:tcPr>
          <w:p>
            <w:pPr>
              <w:spacing w:after="0"/>
              <w:rPr>
                <w:sz w:val="22"/>
                <w:szCs w:val="22"/>
                <w:color w:val="auto"/>
              </w:rPr>
            </w:pPr>
          </w:p>
        </w:tc>
        <w:tc>
          <w:tcPr>
            <w:tcW w:w="1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225,598</w:t>
            </w:r>
          </w:p>
        </w:tc>
        <w:tc>
          <w:tcPr>
            <w:tcW w:w="60" w:type="dxa"/>
            <w:vAlign w:val="bottom"/>
            <w:tcBorders>
              <w:bottom w:val="single" w:sz="8" w:color="EAEBEC"/>
            </w:tcBorders>
            <w:shd w:val="clear" w:color="auto" w:fill="EAEBEC"/>
          </w:tcPr>
          <w:p>
            <w:pPr>
              <w:spacing w:after="0"/>
              <w:rPr>
                <w:sz w:val="22"/>
                <w:szCs w:val="22"/>
                <w:color w:val="auto"/>
              </w:rPr>
            </w:pPr>
          </w:p>
        </w:tc>
      </w:tr>
      <w:tr>
        <w:trPr>
          <w:trHeight w:val="20"/>
        </w:trPr>
        <w:tc>
          <w:tcPr>
            <w:tcW w:w="4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-1078865</wp:posOffset>
            </wp:positionV>
            <wp:extent cx="25146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a:extLst>
                        <a:ext uri="{28A0092B-C50C-407E-A947-70E740481C1C}"/>
                      </a:extLst>
                    </a:blip>
                    <a:srcRect/>
                    <a:stretch>
                      <a:fillRect/>
                    </a:stretch>
                  </pic:blipFill>
                  <pic:spPr bwMode="auto">
                    <a:xfrm>
                      <a:off x="0" y="0"/>
                      <a:ext cx="2514600" cy="3810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Financing Activities</w:t>
      </w:r>
    </w:p>
    <w:p>
      <w:pPr>
        <w:spacing w:after="0" w:line="240" w:lineRule="exact"/>
        <w:rPr>
          <w:sz w:val="20"/>
          <w:szCs w:val="20"/>
          <w:color w:val="auto"/>
        </w:rPr>
      </w:pPr>
    </w:p>
    <w:p>
      <w:pPr>
        <w:jc w:val="both"/>
        <w:ind w:right="220" w:firstLine="490"/>
        <w:spacing w:after="0" w:line="277" w:lineRule="auto"/>
        <w:rPr>
          <w:sz w:val="20"/>
          <w:szCs w:val="20"/>
          <w:color w:val="auto"/>
        </w:rPr>
      </w:pPr>
      <w:r>
        <w:rPr>
          <w:rFonts w:ascii="Times New Roman" w:cs="Times New Roman" w:eastAsia="Times New Roman" w:hAnsi="Times New Roman"/>
          <w:sz w:val="20"/>
          <w:szCs w:val="20"/>
          <w:color w:val="231F20"/>
        </w:rPr>
        <w:t>Net cash used in financing activities was $101.7 million for fiscal 2025, compared with $8.8 million used in financing activities in fiscal 2024 and $85.4 million used in financing activities in fiscal 2023.</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Financing cash flows in fiscal 2025 primarily consisted of $95.3 million in principal repayments on the term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loan.</w:t>
      </w:r>
    </w:p>
    <w:p>
      <w:pPr>
        <w:spacing w:after="0" w:line="212"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231F20"/>
        </w:rPr>
        <w:t>Financing cash flows in fiscal 2024 primarily consisted of borrowings and repayments on the ABL Revolving Credit Facility and payments for tax withholdings on stock-based awards.</w:t>
      </w:r>
    </w:p>
    <w:p>
      <w:pPr>
        <w:spacing w:after="0" w:line="169" w:lineRule="exact"/>
        <w:rPr>
          <w:sz w:val="20"/>
          <w:szCs w:val="20"/>
          <w:color w:val="auto"/>
        </w:rPr>
      </w:pPr>
    </w:p>
    <w:p>
      <w:pPr>
        <w:jc w:val="both"/>
        <w:ind w:right="200" w:firstLine="490"/>
        <w:spacing w:after="0" w:line="258" w:lineRule="auto"/>
        <w:rPr>
          <w:sz w:val="20"/>
          <w:szCs w:val="20"/>
          <w:color w:val="auto"/>
        </w:rPr>
      </w:pPr>
      <w:r>
        <w:rPr>
          <w:rFonts w:ascii="Times New Roman" w:cs="Times New Roman" w:eastAsia="Times New Roman" w:hAnsi="Times New Roman"/>
          <w:sz w:val="20"/>
          <w:szCs w:val="20"/>
          <w:color w:val="231F20"/>
        </w:rPr>
        <w:t>Financing cash flows in fiscal 2023 primarily consisted of $75.0 million in principal repayments on the term loan, borrowings and repayments under the ABL Revolving Credit Facility, and payments for tax withholdings on stock-based awards.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Sources of Liquidity</w:t>
      </w: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231F20"/>
        </w:rPr>
        <w:t>Senior Secured Credit Facilities</w:t>
      </w:r>
    </w:p>
    <w:p>
      <w:pPr>
        <w:spacing w:after="0" w:line="240" w:lineRule="exact"/>
        <w:rPr>
          <w:sz w:val="20"/>
          <w:szCs w:val="20"/>
          <w:color w:val="auto"/>
        </w:rPr>
      </w:pPr>
    </w:p>
    <w:p>
      <w:pPr>
        <w:ind w:right="340" w:firstLine="490"/>
        <w:spacing w:after="0" w:line="258" w:lineRule="auto"/>
        <w:rPr>
          <w:sz w:val="20"/>
          <w:szCs w:val="20"/>
          <w:color w:val="auto"/>
        </w:rPr>
      </w:pPr>
      <w:r>
        <w:rPr>
          <w:rFonts w:ascii="Times New Roman" w:cs="Times New Roman" w:eastAsia="Times New Roman" w:hAnsi="Times New Roman"/>
          <w:sz w:val="20"/>
          <w:szCs w:val="20"/>
          <w:color w:val="231F20"/>
        </w:rPr>
        <w:t>On March 4, 2021, the Company completed a refinancing transaction by entering into the $1,700.0 million First Lien Term Loan originally maturing on March 4, 2028 and the ABL Revolving Credit Facility, originally maturing on March 4, 2026 with availability of up to $500.0 million, subject to a borrowing base.</w:t>
      </w:r>
    </w:p>
    <w:p>
      <w:pPr>
        <w:spacing w:after="0" w:line="188" w:lineRule="exact"/>
        <w:rPr>
          <w:sz w:val="20"/>
          <w:szCs w:val="20"/>
          <w:color w:val="auto"/>
        </w:rPr>
      </w:pPr>
    </w:p>
    <w:p>
      <w:pPr>
        <w:ind w:firstLine="540"/>
        <w:spacing w:after="0" w:line="247" w:lineRule="auto"/>
        <w:rPr>
          <w:sz w:val="20"/>
          <w:szCs w:val="20"/>
          <w:color w:val="auto"/>
        </w:rPr>
      </w:pPr>
      <w:r>
        <w:rPr>
          <w:rFonts w:ascii="Times New Roman" w:cs="Times New Roman" w:eastAsia="Times New Roman" w:hAnsi="Times New Roman"/>
          <w:sz w:val="20"/>
          <w:szCs w:val="20"/>
          <w:color w:val="231F20"/>
        </w:rPr>
        <w:t>Interest on the First Lien Term Loan was based on, at the Company’s option, either a base rate or Adjusted Term SOFR, subject to a 0.75% floor, payable upon maturity of the SOFR contract, in either case plus the applicable rate. The base rate was the greater of the bank prime rate, federal funds effective rate plus 0.5% or Adjusted Term SOFR plus 1.0%. The applicable rate was 2.25% per annum for a base rate loan or 3.25% per annum for an Adjusted Term SOFR loan. Principal and interest payments commenced on June 30, 2021. Principal payments were typically $4.25 million quarterly.</w:t>
      </w:r>
    </w:p>
    <w:p>
      <w:pPr>
        <w:sectPr>
          <w:pgSz w:w="11880" w:h="15480" w:orient="portrait"/>
          <w:cols w:equalWidth="0" w:num="1">
            <w:col w:w="9360"/>
          </w:cols>
          <w:pgMar w:left="1260" w:top="88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9360"/>
          </w:cols>
          <w:pgMar w:left="1260" w:top="880" w:right="1260" w:bottom="0" w:gutter="0" w:footer="0" w:header="0"/>
          <w:type w:val="continuous"/>
        </w:sectPr>
      </w:pPr>
    </w:p>
    <w:bookmarkStart w:id="66" w:name="page67"/>
    <w:bookmarkEnd w:id="66"/>
    <w:p>
      <w:pPr>
        <w:ind w:right="400" w:firstLine="490"/>
        <w:spacing w:after="0" w:line="258" w:lineRule="auto"/>
        <w:rPr>
          <w:sz w:val="20"/>
          <w:szCs w:val="20"/>
          <w:color w:val="auto"/>
        </w:rPr>
      </w:pPr>
      <w:r>
        <w:rPr>
          <w:rFonts w:ascii="Times New Roman" w:cs="Times New Roman" w:eastAsia="Times New Roman" w:hAnsi="Times New Roman"/>
          <w:sz w:val="20"/>
          <w:szCs w:val="20"/>
          <w:color w:val="231F20"/>
        </w:rPr>
        <w:t>The Company voluntarily repaid $75.0 million of the principal of the First Lien Term Loan using existing cash on hand during fiscal 2023. The repayments were applied to remaining principal payments in order of scheduled payment date.</w:t>
      </w:r>
    </w:p>
    <w:p>
      <w:pPr>
        <w:spacing w:after="0" w:line="18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In March 2024, the Company amended the ABL Revolving Credit Facility, which now consists of two tranches, to increase its total availability from $500.0 million to $581.0 million and extend the maturity on a portion of this availability. The first tranche has availability of up to $35.0 million, subject to a borrowing base, maturing on March 4, 2026. The second tranche has availability of up to $546.0 million, subject to a borrowing base, maturing on March 29, 2029. Interest on the ABL Revolving Credit Facility is based on, at the Company's option, either the base rate subject to a 1% floor, or Term SOFR subject to a floor of 0%, plus an applicable margin. All other key terms of the ABL Revolving Credit Facility remained unchanged.</w:t>
      </w:r>
    </w:p>
    <w:p>
      <w:pPr>
        <w:spacing w:after="0" w:line="200"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During fiscal 2025, the Company voluntarily repaid $95.3 million of the principal of the First Lien Term Loan using existing cash on hand. The repayments were applied to the remaining principal payments in order of scheduled payment date.</w:t>
      </w:r>
    </w:p>
    <w:p>
      <w:pPr>
        <w:spacing w:after="0" w:line="188"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31F20"/>
        </w:rPr>
        <w:t>On February 2, 2026, the Company entered into an amendment to the First Lien Term Loan (“Amended First Lien Term Loan”) and issued $600.0 million in aggregate principal amount of senior secured notes (the “Senior Secured Notes”). Following the amendment, $900.0 million of principal remained on the Amended First Lien Term Loan.</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Senior Secured Notes</w:t>
      </w:r>
    </w:p>
    <w:p>
      <w:pPr>
        <w:spacing w:after="0" w:line="240"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The Senior Secured Notes bear interest at 8.25% per annum and mature on February 1, 2031. The Company issued the Senior Secured Notes pursuant to an indenture, dated as of February 2, 2026 (the “Indenture”). The Indenture contains covenants that, among other things, restrict the Company’s ability and the ability of its restricted subsidiaries to: incur additional indebtedness or guarantee indebtedness; pay dividends or make other distributions in respect of, or repurchase or redeem, capital stock; issue certain preferred stock or similar equity securities; make loans and investments; sell or otherwise dispose of assets; incur liens; enter into transactions with affiliates, enter into agreements restricting our subsidiaries’ ability to pay dividends; and consolidate, merge, or sell all or substantially all assets. These restrictions, however, are subject to a number of important exceptions and qualifications.</w:t>
      </w:r>
    </w:p>
    <w:p>
      <w:pPr>
        <w:spacing w:after="0" w:line="206" w:lineRule="exact"/>
        <w:rPr>
          <w:sz w:val="20"/>
          <w:szCs w:val="20"/>
          <w:color w:val="auto"/>
        </w:rPr>
      </w:pPr>
    </w:p>
    <w:p>
      <w:pPr>
        <w:ind w:right="180" w:firstLine="490"/>
        <w:spacing w:after="0" w:line="261" w:lineRule="auto"/>
        <w:rPr>
          <w:sz w:val="20"/>
          <w:szCs w:val="20"/>
          <w:color w:val="auto"/>
        </w:rPr>
      </w:pPr>
      <w:r>
        <w:rPr>
          <w:rFonts w:ascii="Times New Roman" w:cs="Times New Roman" w:eastAsia="Times New Roman" w:hAnsi="Times New Roman"/>
          <w:sz w:val="19"/>
          <w:szCs w:val="19"/>
          <w:color w:val="231F20"/>
        </w:rPr>
        <w:t>The Indenture also provides that the Senior Secured Notes may become subject to redemption under certain circumstances, including a change of control (as defined in the Indenture) of the Company. Prior to February 1, 2028, the Company may, at its option, redeem the Senior Secured Notes in whole or in part, at a redemption price equal to 100% of the principal amount of the Senior Secured Notes being redeemed plus the make-whole premium set forth in the Indenture, together with accrued and unpaid interest. On and after February 1, 2028, the Company may, at its option, redeem the Senior Secured Notes in whole or in part, at certain redemption prices (expressed as percentages of the principal amount thereof) set forth in the Indenture, together with accrued and unpaid interest.</w:t>
      </w:r>
    </w:p>
    <w:p>
      <w:pPr>
        <w:spacing w:after="0" w:line="187"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231F20"/>
        </w:rPr>
        <w:t>For more information regarding this indebtedness, refer to Note 7, “Senior Secured Credit Facilitie</w:t>
      </w:r>
      <w:r>
        <w:rPr>
          <w:rFonts w:ascii="Times New Roman" w:cs="Times New Roman" w:eastAsia="Times New Roman" w:hAnsi="Times New Roman"/>
          <w:sz w:val="20"/>
          <w:szCs w:val="20"/>
          <w:i w:val="1"/>
          <w:iCs w:val="1"/>
          <w:color w:val="231F20"/>
        </w:rPr>
        <w:t>s</w:t>
      </w:r>
      <w:r>
        <w:rPr>
          <w:rFonts w:ascii="Times New Roman" w:cs="Times New Roman" w:eastAsia="Times New Roman" w:hAnsi="Times New Roman"/>
          <w:sz w:val="20"/>
          <w:szCs w:val="20"/>
          <w:color w:val="231F20"/>
        </w:rPr>
        <w:t>,” in the Notes to Consolidated Financial Statements included in Part II, Item 8 of this Annual Report on Form 10-K.</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b w:val="1"/>
          <w:bCs w:val="1"/>
          <w:i w:val="1"/>
          <w:iCs w:val="1"/>
          <w:color w:val="231F20"/>
        </w:rPr>
        <w:t>Derivative Instruments</w:t>
      </w:r>
    </w:p>
    <w:p>
      <w:pPr>
        <w:spacing w:after="0" w:line="24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The Company entered into interest rate cap, collar and swap agreements to limit the maximum interest on a portion of the Company’s variable-rate debt and decrease its exposure to interest rate variability relating to three-month Term SOFR. For more information regarding derivative instruments, refer to Note 8, “</w:t>
      </w:r>
      <w:r>
        <w:rPr>
          <w:rFonts w:ascii="Times New Roman" w:cs="Times New Roman" w:eastAsia="Times New Roman" w:hAnsi="Times New Roman"/>
          <w:sz w:val="20"/>
          <w:szCs w:val="20"/>
          <w:i w:val="1"/>
          <w:iCs w:val="1"/>
          <w:color w:val="231F20"/>
        </w:rPr>
        <w:t>Derivative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Instruments</w:t>
      </w:r>
      <w:r>
        <w:rPr>
          <w:rFonts w:ascii="Times New Roman" w:cs="Times New Roman" w:eastAsia="Times New Roman" w:hAnsi="Times New Roman"/>
          <w:sz w:val="20"/>
          <w:szCs w:val="20"/>
          <w:color w:val="231F20"/>
        </w:rPr>
        <w:t>,” in the Notes to Consolidated Financial Statements included in Part II, Item 8 of this Annual Report 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Form 10-K.</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Segment</w:t>
      </w:r>
    </w:p>
    <w:p>
      <w:pPr>
        <w:spacing w:after="0" w:line="101"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231F20"/>
        </w:rPr>
        <w:t>We operate under one reportable segment and support and serve pets and their parents through our integrated ecosystem of pet care centers, services, and e-commerce.</w:t>
      </w:r>
    </w:p>
    <w:p>
      <w:pPr>
        <w:sectPr>
          <w:pgSz w:w="11880" w:h="15480" w:orient="portrait"/>
          <w:cols w:equalWidth="0" w:num="1">
            <w:col w:w="9360"/>
          </w:cols>
          <w:pgMar w:left="1260" w:top="88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9360"/>
          </w:cols>
          <w:pgMar w:left="1260" w:top="880" w:right="1260" w:bottom="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231F20"/>
        </w:rPr>
        <w:t>Seasonality</w:t>
      </w:r>
    </w:p>
    <w:p>
      <w:pPr>
        <w:spacing w:after="0" w:line="101" w:lineRule="exact"/>
        <w:rPr>
          <w:sz w:val="20"/>
          <w:szCs w:val="20"/>
          <w:color w:val="auto"/>
        </w:rPr>
      </w:pPr>
    </w:p>
    <w:p>
      <w:pPr>
        <w:ind w:right="680" w:firstLine="490"/>
        <w:spacing w:after="0" w:line="253" w:lineRule="auto"/>
        <w:rPr>
          <w:sz w:val="20"/>
          <w:szCs w:val="20"/>
          <w:color w:val="auto"/>
        </w:rPr>
      </w:pPr>
      <w:r>
        <w:rPr>
          <w:rFonts w:ascii="Times New Roman" w:cs="Times New Roman" w:eastAsia="Times New Roman" w:hAnsi="Times New Roman"/>
          <w:sz w:val="20"/>
          <w:szCs w:val="20"/>
          <w:color w:val="231F20"/>
        </w:rPr>
        <w:t>Our financial performance is not significantly impacted by seasonality, as the majority of our sales are generated by pet parents caring for their pets year-round.</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Estimates</w:t>
      </w:r>
    </w:p>
    <w:p>
      <w:pPr>
        <w:spacing w:after="0" w:line="101" w:lineRule="exact"/>
        <w:rPr>
          <w:sz w:val="20"/>
          <w:szCs w:val="20"/>
          <w:color w:val="auto"/>
        </w:rPr>
      </w:pPr>
    </w:p>
    <w:p>
      <w:pPr>
        <w:ind w:firstLine="490"/>
        <w:spacing w:after="0" w:line="223" w:lineRule="auto"/>
        <w:rPr>
          <w:sz w:val="20"/>
          <w:szCs w:val="20"/>
          <w:color w:val="auto"/>
        </w:rPr>
      </w:pPr>
      <w:r>
        <w:rPr>
          <w:rFonts w:ascii="Times New Roman" w:cs="Times New Roman" w:eastAsia="Times New Roman" w:hAnsi="Times New Roman"/>
          <w:sz w:val="20"/>
          <w:szCs w:val="20"/>
          <w:color w:val="231F20"/>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86" w:lineRule="exact"/>
        <w:rPr>
          <w:sz w:val="20"/>
          <w:szCs w:val="20"/>
          <w:color w:val="auto"/>
        </w:rPr>
      </w:pPr>
    </w:p>
    <w:p>
      <w:pPr>
        <w:ind w:right="140" w:firstLine="490"/>
        <w:spacing w:after="0" w:line="231" w:lineRule="auto"/>
        <w:rPr>
          <w:sz w:val="20"/>
          <w:szCs w:val="20"/>
          <w:color w:val="auto"/>
        </w:rPr>
      </w:pPr>
      <w:r>
        <w:rPr>
          <w:rFonts w:ascii="Times New Roman" w:cs="Times New Roman" w:eastAsia="Times New Roman" w:hAnsi="Times New Roman"/>
          <w:sz w:val="20"/>
          <w:szCs w:val="20"/>
          <w:color w:val="231F20"/>
        </w:rPr>
        <w:t>We state our significant accounting policies in the notes to our annual consolidated financial statements, which are included in this Annual Report on Form 10-K. We believe that the following accounting policies and estimates described below have the greatest potential impact on our financial statements, and therefore we consider these to be critical to aid in fully understanding and evaluating our reported financial results.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Inventory Reserves</w:t>
      </w:r>
    </w:p>
    <w:p>
      <w:pPr>
        <w:spacing w:after="0" w:line="97" w:lineRule="exact"/>
        <w:rPr>
          <w:sz w:val="20"/>
          <w:szCs w:val="20"/>
          <w:color w:val="auto"/>
        </w:rPr>
      </w:pPr>
    </w:p>
    <w:p>
      <w:pPr>
        <w:ind w:right="120" w:firstLine="490"/>
        <w:spacing w:after="0" w:line="224" w:lineRule="auto"/>
        <w:rPr>
          <w:sz w:val="20"/>
          <w:szCs w:val="20"/>
          <w:color w:val="auto"/>
        </w:rPr>
      </w:pPr>
      <w:r>
        <w:rPr>
          <w:rFonts w:ascii="Times New Roman" w:cs="Times New Roman" w:eastAsia="Times New Roman" w:hAnsi="Times New Roman"/>
          <w:sz w:val="20"/>
          <w:szCs w:val="20"/>
          <w:color w:val="231F20"/>
        </w:rPr>
        <w:t>We value our inventory at the lower of the cost or net realizable value through the establishment of inventory valuation and shrink reserves. Cost is determined by the average cost method and includes inbound freight charges. Our valuation reserves represent the excess of the carrying value or average cost, over the amount we expect to realize from the ultimate sale of the inventory. Valuation reserves establish a new cost basis, and subsequent changes in facts or circumstances do not result in an increase in the newly established cost basis. Our valuation reserves are subject to uncertainties, as the calculation requires us to make assumptions regarding inventory aging, forecasted consumer demand and trends and the promotional environment.</w:t>
      </w:r>
    </w:p>
    <w:p>
      <w:pPr>
        <w:spacing w:after="0" w:line="205"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Our inventory shrink reserve represents estimated physical inventory losses that have occurred since the last physical inventory date. Periodic inventory observations are performed on a regular basis at pet care center locations, and cycle counts are performed for inventory at distribution centers to ensure inventory is properly stated in our consolidated financial statements. During the period between counts at pet care center locations, we accrue for estimated shrink losses based on historical shrinkage results, taking into consideration any current trends in the business</w:t>
      </w:r>
      <w:r>
        <w:rPr>
          <w:rFonts w:ascii="Times New Roman" w:cs="Times New Roman" w:eastAsia="Times New Roman" w:hAnsi="Times New Roman"/>
          <w:sz w:val="20"/>
          <w:szCs w:val="20"/>
          <w:i w:val="1"/>
          <w:iCs w:val="1"/>
          <w:color w:val="231F20"/>
        </w:rPr>
        <w:t>.</w:t>
      </w:r>
    </w:p>
    <w:p>
      <w:pPr>
        <w:spacing w:after="0" w:line="20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31F20"/>
        </w:rPr>
        <w:t>We have not made any material changes in our methodology used to establish our inventory valuation and shrink reserves during the past three fiscal years, and we have not had material adjustments between our estimated shrinkage percentages and actual results. A 10% difference in our actual valuation reserve at January 31, 2026 would have an insignificant effect on pre -tax loss in fiscal 2025. Additionally, we do not believe there is a reasonable likelihood that there will be a material change in future estimates or assumptions we use to calculate our shrink reserve. However, if estimates of losses are inaccurate, we may be exposed to losses or gains that could be material. A 10% difference in our actual shrink reserve at January 31, 2026 would have affected pre-tax loss by $3.4 million in fiscal 2025.</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Vendor Allowances</w:t>
      </w:r>
    </w:p>
    <w:p>
      <w:pPr>
        <w:spacing w:after="0" w:line="120"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We receive various forms of consideration from our merchandise vendors (vendor allowances). We receive vendor allowances, primarily in the form of cooperative advertising reimbursements, rebate incentives, prompt purchase discounts, and vendor compliance charges pursuant to agreements with certain vendors. Substantially all vendor allowances are initially deferred as a reduction of the cost of inventory purchased and recorded as a reduction to cost of sales in the consolidated statements of operations as the inventory is sold. Vendor rebates and allowances that are identified as specific, incremental, and identifiable costs incurred by the Company in selling the vendors’ products are classified as a reduction of selling, general and administrative expenses in the consolidated statements of operations as the costs are incurred, as the related costs are also classified as selling, general and administrative expenses.</w:t>
      </w:r>
    </w:p>
    <w:p>
      <w:pPr>
        <w:spacing w:after="0" w:line="206"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231F20"/>
        </w:rPr>
        <w:t>We establish a deferral for vendor income that is earned but not yet received and record the deferral as a reduction to merchandise inventory. The majority of the year-end vendor income deferrals are collected within the</w:t>
      </w:r>
    </w:p>
    <w:p>
      <w:pPr>
        <w:sectPr>
          <w:pgSz w:w="11880" w:h="15480" w:orient="portrait"/>
          <w:cols w:equalWidth="0" w:num="1">
            <w:col w:w="9360"/>
          </w:cols>
          <w:pgMar w:left="1260" w:top="857" w:right="1260" w:bottom="0" w:gutter="0" w:footer="0" w:header="0"/>
        </w:sect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9360"/>
          </w:cols>
          <w:pgMar w:left="1260" w:top="857" w:right="1260" w:bottom="0" w:gutter="0" w:footer="0" w:header="0"/>
          <w:type w:val="continuous"/>
        </w:sectPr>
      </w:pPr>
    </w:p>
    <w:bookmarkStart w:id="68" w:name="page69"/>
    <w:bookmarkEnd w:id="68"/>
    <w:p>
      <w:pPr>
        <w:ind w:right="180"/>
        <w:spacing w:after="0" w:line="252" w:lineRule="auto"/>
        <w:rPr>
          <w:sz w:val="20"/>
          <w:szCs w:val="20"/>
          <w:color w:val="auto"/>
        </w:rPr>
      </w:pPr>
      <w:r>
        <w:rPr>
          <w:rFonts w:ascii="Times New Roman" w:cs="Times New Roman" w:eastAsia="Times New Roman" w:hAnsi="Times New Roman"/>
          <w:sz w:val="20"/>
          <w:szCs w:val="20"/>
          <w:color w:val="231F20"/>
        </w:rPr>
        <w:t>following fiscal quarter, and we do not believe there is reasonable likelihood that the assumptions used in our estimate will change significantly. Historically, adjustments to our vendor income deferral have not been material. A 10% difference in our vendor income deferred at January 31, 2026 would have affected pre-tax loss by $2.0 million in fiscal 2025.</w:t>
      </w:r>
    </w:p>
    <w:p>
      <w:pPr>
        <w:spacing w:after="0" w:line="194"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231F20"/>
        </w:rPr>
        <w:t>We have not made any material changes in the accounting methodology we use to assess vendor allowances during the past three fiscal years.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Long-lived Assets</w:t>
      </w:r>
    </w:p>
    <w:p>
      <w:pPr>
        <w:spacing w:after="0" w:line="12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Long-lived assets, other than goodwill and intangible assets, which are separately discussed below, are tested for recoverability whenever events or changes in circumstances indicate that the carrying value of an asset may not be recoverable. Long-lived assets are reviewed for impairment at the lowest level of identifiable cash flows, and are not recoverable if the carrying amount exceeds the sum of the undiscounted cash flows expected to result from the use and eventual disposition. If a long-lived asset is not recoverable, an impairment loss is recognized for the amount by which the carrying amount of the long-lived asset (or group of assets) exceeds its fair value, with fair value determined based on the income approach.</w:t>
      </w:r>
    </w:p>
    <w:p>
      <w:pPr>
        <w:spacing w:after="0" w:line="200"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231F20"/>
        </w:rPr>
        <w:t>Factors we consider important and which could trigger an impairment review include: (i) significant underperformance of a pet care center relative to expected historical or projected future operating results; (ii) significant changes in the manner of our use of assets or strategy for our overall business; (iii) significant negative industry or economic trends; or (iv) planned pet care center closings.</w:t>
      </w:r>
    </w:p>
    <w:p>
      <w:pPr>
        <w:spacing w:after="0" w:line="194"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color w:val="231F20"/>
        </w:rPr>
        <w:t>We have not made any material changes in the accounting methodology we use to assess impairment losses during the past three fiscal years.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Goodwill and Trade Name Intangible Assets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Goodwill</w:t>
      </w:r>
    </w:p>
    <w:p>
      <w:pPr>
        <w:spacing w:after="0" w:line="12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We evaluate goodwill annually in our fourth quarter or whenever events or changes in circumstances indicate that the carrying value may not be recoverable. We have identified one reporting unit and selected our fourth fiscal quarter to perform our annual goodwill impairment testing. Goodwill impairment guidance provides entities the option to perform a qualitative assessment to determine whether further impairment testing is necessary. The qualitative assessment requires significant judgments about economic conditions, including the entity’s operating environment, its industry and other market conditions, entity-specific events related to financial performance or loss of key personnel, and other events that could impact the reporting unit. If management concludes, based on assessment of relevant events, facts, and circumstances, that it is more likely than not that a reporting unit’s fair value is greater than its carrying value, no further impairment testing is required.</w:t>
      </w:r>
    </w:p>
    <w:p>
      <w:pPr>
        <w:spacing w:after="0" w:line="206"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31F20"/>
        </w:rPr>
        <w:t>If management’s assessment of qualitative factors indicates that it is more likely than not that the fair value of a reporting unit is less than its carrying value, then a quantitative assessment is performed. We also have the option to bypass the qualitative assessment described above and proceed directly to the quantitative assessment, where we compare the fair value of the reporting unit to its carrying value. If the fair value of the reporting unit exceeds the carrying value of our net assets assigned to that unit, goodwill is not considered impaired, and we are not required to perform further testing. If the carrying value of net assets assigned to the reporting unit exceeds the fair value of the reporting unit, then we would record an impairment loss equal to the difference. In cases where a quantitative test is performed, the fair value of our reporting unit is estimated using the assistance of a third-party valuation firm. If a quantitative assessment is performed, the evaluation includes management estimates of cash flow projections based on internal future projections and/or use of a market approach by reviewing transactional and financial data of publicly traded companies. The assumptions used in the impairment analysis are inherently subject to uncertainty and small changes in these assumptions could have a significant impact on the concluded value. The Company's market capitalization is also considered as part of the analysis, in order to further validate the reasonableness of the fair values concluded for the reporting unit. Factors that may trigger an interim impairment test may include, but are not limited to, current economic and market conditions or a significant decline in the Company’s stock price and market capitalization compared to net book value.</w:t>
      </w:r>
    </w:p>
    <w:p>
      <w:pPr>
        <w:spacing w:after="0" w:line="210"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We have not made any material changes in the accounting methodology we use to assess goodwill impairment losses during the past three fiscal years.</w:t>
      </w:r>
    </w:p>
    <w:p>
      <w:pPr>
        <w:sectPr>
          <w:pgSz w:w="11880" w:h="15480" w:orient="portrait"/>
          <w:cols w:equalWidth="0" w:num="1">
            <w:col w:w="9340"/>
          </w:cols>
          <w:pgMar w:left="1260" w:top="880" w:right="1280" w:bottom="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9340"/>
          </w:cols>
          <w:pgMar w:left="1260" w:top="880" w:right="1280" w:bottom="0" w:gutter="0" w:footer="0" w:header="0"/>
          <w:type w:val="continuous"/>
        </w:sectPr>
      </w:pPr>
    </w:p>
    <w:bookmarkStart w:id="69" w:name="page70"/>
    <w:bookmarkEnd w:id="69"/>
    <w:p>
      <w:pPr>
        <w:ind w:left="500"/>
        <w:spacing w:after="0"/>
        <w:rPr>
          <w:sz w:val="20"/>
          <w:szCs w:val="20"/>
          <w:color w:val="auto"/>
        </w:rPr>
      </w:pPr>
      <w:r>
        <w:rPr>
          <w:rFonts w:ascii="Times New Roman" w:cs="Times New Roman" w:eastAsia="Times New Roman" w:hAnsi="Times New Roman"/>
          <w:sz w:val="20"/>
          <w:szCs w:val="20"/>
          <w:b w:val="1"/>
          <w:bCs w:val="1"/>
          <w:i w:val="1"/>
          <w:iCs w:val="1"/>
          <w:color w:val="231F20"/>
        </w:rPr>
        <w:t>Indefinite-lived trade name</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We consider the Petco trade name to be an indefinite-lived intangible asset, as we currently anticipate that this trade name will contribute cash flows to us indefinitely. We perform our annual impairment test during the fourth quarter of each year or whenever events or changes in circumstances indicate the carrying value may not be recoverable. Management has the option to first perform a qualitative assessment of its trade name asset to determine whether it is necessary to perform a quantitative impairment test. We also have the option to bypass the qualitative assessment described above and proceed directly to quantitative assessment.</w:t>
      </w:r>
    </w:p>
    <w:p>
      <w:pPr>
        <w:spacing w:after="0" w:line="20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In cases where a quantitative test is performed, the fair value of our trade name is estimated using the assistance of a third-party valuation firm. Factors that may trigger an interim impairment test may include, but are not limited to, a significant decline in the Company’s stock price and market capitalization compared to net book value, or changes in the pattern of utilization of the intangible asset. Significant assumptions used in the determination of fair value of the trade name generally include prospective financial information, growth rates, discount rates and comparable multiples from publicly traded companies in similar industries. An impairment charge is recorded for the amount by which the carrying amount of the trade name exceeds its fair value.</w:t>
      </w:r>
    </w:p>
    <w:p>
      <w:pPr>
        <w:spacing w:after="0" w:line="200"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We have not made any material changes in the accounting methodology we use to assess indefinite-lived trade name impairment during the past three fiscal years.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Self-insurance Reserves</w:t>
      </w:r>
    </w:p>
    <w:p>
      <w:pPr>
        <w:spacing w:after="0" w:line="12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We maintain accruals for our self-insurance of workers’ compensation, employee-related healthcare benefits and general and auto liabilities. Insurance coverage is in place above per occurrence retention limits to limit our exposure to large claims. These insurance policies have stated maximum coverage limits, after which we bear the risk of loss. When estimating our self-insurance reserves, we consider a number of factors, including historical experience, trends related to claims and payments, and information provided by our insurance brokers and actuaries. Periodically, we review our assumptions and valuations provided by our actuaries to determine the adequacy of our self-insurance reserves.</w:t>
      </w:r>
    </w:p>
    <w:p>
      <w:pPr>
        <w:spacing w:after="0" w:line="20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31F20"/>
        </w:rPr>
        <w:t>We are required to make assumptions and to apply judgments to estimate the ultimate cost to settle reported claims and claims incurred but not reported at the balance sheet date. There were no significant changes to the self-insurance reserves during the past three years other than routine current period activity. A 10% change in our self-insurance reserves at January 31, 2026 would have affected pre-tax loss by $9.6 million in fiscal 2025.</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Recent Accounting Pronouncements</w:t>
      </w:r>
    </w:p>
    <w:p>
      <w:pPr>
        <w:spacing w:after="0" w:line="124"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Refer to Note 1, “Summary of Significant Accounting Policies,” in the Notes to Consolidated Financial Statements included in Part II, Item 8 of this Annual Report on Form 10-K for information regarding recently issued accounting pronouncements.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12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Interest Rate Risk</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We are subject to interest rate risk in connection with the First Lien Term Loan and the ABL Revolving Credit Facility. As of January 31, 2026, we had $1,500.0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January 31, 2026 would have increased annual cash interest in the aggregate by approximately $15.2 million. For information regarding the cash flow hedge agreements that we entered into to limit the maximum interest rate on a portion of our variable-rate debt and limit our exposure to interest rate variability, please refer to the section defined within Liquidity and Capital Resources in Part II, Item 7, “Derivative Instruments” of this Form 10-K.</w:t>
      </w:r>
    </w:p>
    <w:p>
      <w:pPr>
        <w:sectPr>
          <w:pgSz w:w="11880" w:h="15480" w:orient="portrait"/>
          <w:cols w:equalWidth="0" w:num="1">
            <w:col w:w="9360"/>
          </w:cols>
          <w:pgMar w:left="1260" w:top="880" w:right="1260"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9360"/>
          </w:cols>
          <w:pgMar w:left="1260" w:top="880" w:right="1260" w:bottom="0" w:gutter="0" w:footer="0" w:header="0"/>
          <w:type w:val="continuous"/>
        </w:sectPr>
      </w:pPr>
    </w:p>
    <w:bookmarkStart w:id="70" w:name="page71"/>
    <w:bookmarkEnd w:id="70"/>
    <w:p>
      <w:pPr>
        <w:ind w:right="360" w:firstLine="490"/>
        <w:spacing w:after="0" w:line="252" w:lineRule="auto"/>
        <w:rPr>
          <w:sz w:val="20"/>
          <w:szCs w:val="20"/>
          <w:color w:val="auto"/>
        </w:rPr>
      </w:pPr>
      <w:r>
        <w:rPr>
          <w:rFonts w:ascii="Times New Roman" w:cs="Times New Roman" w:eastAsia="Times New Roman" w:hAnsi="Times New Roman"/>
          <w:sz w:val="20"/>
          <w:szCs w:val="20"/>
          <w:color w:val="231F20"/>
        </w:rPr>
        <w:t>Additionally, on February 2, 2026, we entered into an amendment to the First Lien Term Loan and issued senior secured notes to refinance our debt. For additional information about our debt, refer to Note 7, “Senior Secured Credit Facilities,” in the Notes to Consolidated Financial Statements included in Part II, Item 8 of this Annual Report on Form 10-K.</w:t>
      </w:r>
    </w:p>
    <w:p>
      <w:pPr>
        <w:spacing w:after="0" w:line="194"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231F20"/>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Credit Risk</w:t>
      </w:r>
    </w:p>
    <w:p>
      <w:pPr>
        <w:spacing w:after="0" w:line="120"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231F20"/>
        </w:rPr>
        <w:t>As of January 31, 2026,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Foreign Currency Risk</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Substantially all of our business is currently conducted in U.S. dollars, with a small amount denominated in foreign currencies. Our expenses are generally denominated in the currencies of the jurisdictions in which we conduct our operations. Our results of current and future operations and cash flows are subject to fluctuations due to changes in foreign currency exchange rates. We do not enter into forward currency contracts to hedge our foreign currency exposure. A hypothetical 10% change in foreign currency exchange rates applicable to our business would not have a material effect on our operating results.</w:t>
      </w:r>
    </w:p>
    <w:p>
      <w:pPr>
        <w:sectPr>
          <w:pgSz w:w="11880" w:h="15480" w:orient="portrait"/>
          <w:cols w:equalWidth="0" w:num="1">
            <w:col w:w="9300"/>
          </w:cols>
          <w:pgMar w:left="1260" w:top="880"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9300"/>
          </w:cols>
          <w:pgMar w:left="1260" w:top="880" w:right="132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PETCO HEALTH AND WELLNESS COMPANY, INC.</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INDEX TO CONSOLIDATED FINANCIAL STATEMENTS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Audited Consolidated Financial Statements</w:t>
            </w:r>
          </w:p>
        </w:tc>
        <w:tc>
          <w:tcPr>
            <w:tcW w:w="5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b w:val="1"/>
                <w:bCs w:val="1"/>
                <w:color w:val="231F20"/>
              </w:rPr>
              <w:t>Page</w:t>
            </w:r>
          </w:p>
        </w:tc>
        <w:tc>
          <w:tcPr>
            <w:tcW w:w="0" w:type="dxa"/>
            <w:vAlign w:val="bottom"/>
          </w:tcPr>
          <w:p>
            <w:pPr>
              <w:spacing w:after="0"/>
              <w:rPr>
                <w:sz w:val="1"/>
                <w:szCs w:val="1"/>
                <w:color w:val="auto"/>
              </w:rPr>
            </w:pPr>
          </w:p>
        </w:tc>
      </w:tr>
      <w:tr>
        <w:trPr>
          <w:trHeight w:val="221"/>
        </w:trPr>
        <w:tc>
          <w:tcPr>
            <w:tcW w:w="88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840" w:type="dxa"/>
            <w:vAlign w:val="bottom"/>
          </w:tcPr>
          <w:p>
            <w:pPr>
              <w:spacing w:after="0"/>
              <w:rPr>
                <w:sz w:val="20"/>
                <w:szCs w:val="20"/>
                <w:color w:val="auto"/>
              </w:rPr>
            </w:pPr>
            <w:r>
              <w:rPr>
                <w:rFonts w:ascii="Times New Roman" w:cs="Times New Roman" w:eastAsia="Times New Roman" w:hAnsi="Times New Roman"/>
                <w:sz w:val="20"/>
                <w:szCs w:val="20"/>
                <w:color w:val="231F20"/>
              </w:rPr>
              <w:t>Reports of Independent Registered Public Accounting Firm</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w:t>
            </w:r>
          </w:p>
        </w:tc>
        <w:tc>
          <w:tcPr>
            <w:tcW w:w="0" w:type="dxa"/>
            <w:vAlign w:val="bottom"/>
          </w:tcPr>
          <w:p>
            <w:pPr>
              <w:spacing w:after="0"/>
              <w:rPr>
                <w:sz w:val="1"/>
                <w:szCs w:val="1"/>
                <w:color w:val="auto"/>
              </w:rPr>
            </w:pPr>
          </w:p>
        </w:tc>
      </w:tr>
      <w:tr>
        <w:trPr>
          <w:trHeight w:val="250"/>
        </w:trPr>
        <w:tc>
          <w:tcPr>
            <w:tcW w:w="88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Balance Sheets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w:t>
            </w:r>
          </w:p>
        </w:tc>
        <w:tc>
          <w:tcPr>
            <w:tcW w:w="0" w:type="dxa"/>
            <w:vAlign w:val="bottom"/>
          </w:tcPr>
          <w:p>
            <w:pPr>
              <w:spacing w:after="0"/>
              <w:rPr>
                <w:sz w:val="1"/>
                <w:szCs w:val="1"/>
                <w:color w:val="auto"/>
              </w:rPr>
            </w:pPr>
          </w:p>
        </w:tc>
      </w:tr>
      <w:tr>
        <w:trPr>
          <w:trHeight w:val="250"/>
        </w:trPr>
        <w:tc>
          <w:tcPr>
            <w:tcW w:w="88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w:t>
            </w:r>
          </w:p>
        </w:tc>
        <w:tc>
          <w:tcPr>
            <w:tcW w:w="0" w:type="dxa"/>
            <w:vAlign w:val="bottom"/>
          </w:tcPr>
          <w:p>
            <w:pPr>
              <w:spacing w:after="0"/>
              <w:rPr>
                <w:sz w:val="1"/>
                <w:szCs w:val="1"/>
                <w:color w:val="auto"/>
              </w:rPr>
            </w:pPr>
          </w:p>
        </w:tc>
      </w:tr>
      <w:tr>
        <w:trPr>
          <w:trHeight w:val="250"/>
        </w:trPr>
        <w:tc>
          <w:tcPr>
            <w:tcW w:w="88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Comprehensive Income (Loss)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0" w:type="dxa"/>
            <w:vAlign w:val="bottom"/>
          </w:tcPr>
          <w:p>
            <w:pPr>
              <w:spacing w:after="0"/>
              <w:rPr>
                <w:sz w:val="1"/>
                <w:szCs w:val="1"/>
                <w:color w:val="auto"/>
              </w:rPr>
            </w:pPr>
          </w:p>
        </w:tc>
      </w:tr>
      <w:tr>
        <w:trPr>
          <w:trHeight w:val="250"/>
        </w:trPr>
        <w:tc>
          <w:tcPr>
            <w:tcW w:w="88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Equity</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69</w:t>
            </w:r>
          </w:p>
        </w:tc>
        <w:tc>
          <w:tcPr>
            <w:tcW w:w="0" w:type="dxa"/>
            <w:vAlign w:val="bottom"/>
          </w:tcPr>
          <w:p>
            <w:pPr>
              <w:spacing w:after="0"/>
              <w:rPr>
                <w:sz w:val="1"/>
                <w:szCs w:val="1"/>
                <w:color w:val="auto"/>
              </w:rPr>
            </w:pPr>
          </w:p>
        </w:tc>
      </w:tr>
      <w:tr>
        <w:trPr>
          <w:trHeight w:val="250"/>
        </w:trPr>
        <w:tc>
          <w:tcPr>
            <w:tcW w:w="8840" w:type="dxa"/>
            <w:vAlign w:val="bottom"/>
          </w:tcPr>
          <w:p>
            <w:pPr>
              <w:spacing w:after="0"/>
              <w:rPr>
                <w:sz w:val="20"/>
                <w:szCs w:val="20"/>
                <w:color w:val="auto"/>
              </w:rPr>
            </w:pPr>
            <w:r>
              <w:rPr>
                <w:rFonts w:ascii="Times New Roman" w:cs="Times New Roman" w:eastAsia="Times New Roman" w:hAnsi="Times New Roman"/>
                <w:sz w:val="20"/>
                <w:szCs w:val="20"/>
                <w:color w:val="231F20"/>
              </w:rPr>
              <w:t>Consolidated Statements of Cash Flows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w:t>
            </w:r>
          </w:p>
        </w:tc>
        <w:tc>
          <w:tcPr>
            <w:tcW w:w="0" w:type="dxa"/>
            <w:vAlign w:val="bottom"/>
          </w:tcPr>
          <w:p>
            <w:pPr>
              <w:spacing w:after="0"/>
              <w:rPr>
                <w:sz w:val="1"/>
                <w:szCs w:val="1"/>
                <w:color w:val="auto"/>
              </w:rPr>
            </w:pPr>
          </w:p>
        </w:tc>
      </w:tr>
      <w:tr>
        <w:trPr>
          <w:trHeight w:val="266"/>
        </w:trPr>
        <w:tc>
          <w:tcPr>
            <w:tcW w:w="8840" w:type="dxa"/>
            <w:vAlign w:val="bottom"/>
          </w:tcPr>
          <w:p>
            <w:pPr>
              <w:spacing w:after="0"/>
              <w:rPr>
                <w:sz w:val="20"/>
                <w:szCs w:val="20"/>
                <w:color w:val="auto"/>
              </w:rPr>
            </w:pPr>
            <w:r>
              <w:rPr>
                <w:rFonts w:ascii="Times New Roman" w:cs="Times New Roman" w:eastAsia="Times New Roman" w:hAnsi="Times New Roman"/>
                <w:sz w:val="20"/>
                <w:szCs w:val="20"/>
                <w:color w:val="231F20"/>
              </w:rPr>
              <w:t>Notes to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87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9360"/>
          </w:cols>
          <w:pgMar w:left="1260" w:top="876" w:right="1260" w:bottom="0" w:gutter="0" w:footer="0" w:header="0"/>
          <w:type w:val="continuous"/>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Stockholders and the Board of Directors of Petco Health and Wellness Company,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Opinion on the Financial Statements</w:t>
      </w:r>
    </w:p>
    <w:p>
      <w:pPr>
        <w:spacing w:after="0" w:line="2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231F20"/>
        </w:rPr>
        <w:t>We have audited the accompanying consolidated balance sheets of Petco Health and Wellness Company, Inc. (the Company) as of January 31, 2026 and February 1, 2025, the related consolidated statements of operations, comprehensive income (loss), equity and cash flows for each of the three years in the period ended January 31, 2026, and the related notes (collectively referred to as the “consolidated financial statements”). In our opinion, the consolidated financial statements present fairly, in all material respects, the financial position of the Company at January 31, 2026 and February 1, 2025, and the results of its operations and its cash flows for each of the three years in the period ended January 31, 2026, in conformity with U.S. generally accepted accounting principles.</w:t>
      </w:r>
    </w:p>
    <w:p>
      <w:pPr>
        <w:spacing w:after="0" w:line="18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231F20"/>
        </w:rPr>
        <w:t>We also have audited, in accordance with the standards of the Public Company Accounting Oversight Board (United States) (PCAOB), the Company's internal control over financial reporting as of January 31, 2026, based on criteria established in Internal Control—Integrated Framework issued by the Committee of Sponsoring Organizations of the Treadway Commission (2013 framework) and our report dated March 13, 2026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234"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Audit Matter</w:t>
      </w:r>
    </w:p>
    <w:p>
      <w:pPr>
        <w:spacing w:after="0" w:line="24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880" w:h="15480" w:orient="portrait"/>
          <w:cols w:equalWidth="0" w:num="1">
            <w:col w:w="10220"/>
          </w:cols>
          <w:pgMar w:left="820" w:top="87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60"/>
        <w:spacing w:after="0" w:line="275" w:lineRule="auto"/>
        <w:rPr>
          <w:sz w:val="20"/>
          <w:szCs w:val="20"/>
          <w:color w:val="auto"/>
        </w:rPr>
      </w:pPr>
      <w:r>
        <w:rPr>
          <w:rFonts w:ascii="Times New Roman" w:cs="Times New Roman" w:eastAsia="Times New Roman" w:hAnsi="Times New Roman"/>
          <w:sz w:val="20"/>
          <w:szCs w:val="20"/>
          <w:i w:val="1"/>
          <w:iCs w:val="1"/>
          <w:color w:val="231F20"/>
        </w:rPr>
        <w:t>Description of the Matter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231F20"/>
        </w:rPr>
        <w:t>Vendor allowances</w:t>
      </w:r>
    </w:p>
    <w:p>
      <w:pPr>
        <w:spacing w:after="0" w:line="245" w:lineRule="exact"/>
        <w:rPr>
          <w:sz w:val="20"/>
          <w:szCs w:val="20"/>
          <w:color w:val="auto"/>
        </w:rPr>
      </w:pPr>
    </w:p>
    <w:p>
      <w:pPr>
        <w:ind w:right="1440"/>
        <w:spacing w:after="0" w:line="254" w:lineRule="auto"/>
        <w:rPr>
          <w:sz w:val="20"/>
          <w:szCs w:val="20"/>
          <w:color w:val="auto"/>
        </w:rPr>
      </w:pPr>
      <w:r>
        <w:rPr>
          <w:rFonts w:ascii="Times New Roman" w:cs="Times New Roman" w:eastAsia="Times New Roman" w:hAnsi="Times New Roman"/>
          <w:sz w:val="20"/>
          <w:szCs w:val="20"/>
          <w:color w:val="231F20"/>
        </w:rPr>
        <w:t>As discussed in Note 1 to the consolidated financial statements, the Company receives vendor allowances from certain merchandise vendors through a variety of programs intended to offset the cost of inventory and for promoting and selling merchandise inventory. Certain of these programs consist of promotional allowances that are contractually tied to the sale of inventory and are recognized as a reduction to cost of sales at the time of the sale of the specific goods. Auditing vendor allowances was complex due to the number of individual agreements and the varying terms in the respective agreements. Significant audit effort was required to evaluate the terms of the vendor agreements and the related treatment of the vendor allowances in the consolidated financial statements.</w:t>
      </w:r>
    </w:p>
    <w:p>
      <w:pPr>
        <w:spacing w:after="0" w:line="200" w:lineRule="exact"/>
        <w:rPr>
          <w:sz w:val="20"/>
          <w:szCs w:val="20"/>
          <w:color w:val="auto"/>
        </w:rPr>
      </w:pPr>
    </w:p>
    <w:p>
      <w:pPr>
        <w:sectPr>
          <w:pgSz w:w="11880" w:h="15480" w:orient="portrait"/>
          <w:cols w:equalWidth="0" w:num="2">
            <w:col w:w="1400" w:space="380"/>
            <w:col w:w="8440"/>
          </w:cols>
          <w:pgMar w:left="820" w:top="876" w:right="840" w:bottom="0" w:gutter="0" w:footer="0" w:header="0"/>
          <w:type w:val="continuous"/>
        </w:sectPr>
      </w:pP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10220"/>
          </w:cols>
          <w:pgMar w:left="820" w:top="876" w:right="840" w:bottom="0" w:gutter="0" w:footer="0" w:header="0"/>
          <w:type w:val="continuous"/>
        </w:sectPr>
      </w:pPr>
    </w:p>
    <w:bookmarkStart w:id="73" w:name="page74"/>
    <w:bookmarkEnd w:id="73"/>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i w:val="1"/>
          <w:iCs w:val="1"/>
          <w:color w:val="231F20"/>
        </w:rPr>
        <w:t>How We Addressed the Matter in Our Audit</w:t>
      </w:r>
    </w:p>
    <w:p>
      <w:pPr>
        <w:spacing w:after="0" w:line="20" w:lineRule="exact"/>
        <w:rPr>
          <w:sz w:val="20"/>
          <w:szCs w:val="20"/>
          <w:color w:val="auto"/>
        </w:rPr>
      </w:pPr>
      <w:r>
        <w:rPr>
          <w:sz w:val="20"/>
          <w:szCs w:val="20"/>
          <w:color w:val="auto"/>
        </w:rPr>
        <w:br w:type="column"/>
      </w:r>
    </w:p>
    <w:p>
      <w:pPr>
        <w:ind w:right="1000"/>
        <w:spacing w:after="0" w:line="249" w:lineRule="auto"/>
        <w:rPr>
          <w:sz w:val="20"/>
          <w:szCs w:val="20"/>
          <w:color w:val="auto"/>
        </w:rPr>
      </w:pPr>
      <w:r>
        <w:rPr>
          <w:rFonts w:ascii="Times New Roman" w:cs="Times New Roman" w:eastAsia="Times New Roman" w:hAnsi="Times New Roman"/>
          <w:sz w:val="20"/>
          <w:szCs w:val="20"/>
          <w:color w:val="231F20"/>
        </w:rPr>
        <w:t>We obtained an understanding, evaluated the design and tested the operating effectiveness of internal controls over the Company’s vendor allowances process, including management’s assessment of the terms of vendor agreements, the timing of recognition to the statement of operations and related classification of the vendor allowances.</w:t>
      </w:r>
    </w:p>
    <w:p>
      <w:pPr>
        <w:spacing w:after="0" w:line="187" w:lineRule="exact"/>
        <w:rPr>
          <w:sz w:val="20"/>
          <w:szCs w:val="20"/>
          <w:color w:val="auto"/>
        </w:rPr>
      </w:pPr>
    </w:p>
    <w:p>
      <w:pPr>
        <w:sectPr>
          <w:pgSz w:w="11880" w:h="15480" w:orient="portrait"/>
          <w:cols w:equalWidth="0" w:num="2">
            <w:col w:w="1120" w:space="400"/>
            <w:col w:w="7840"/>
          </w:cols>
          <w:pgMar w:left="1080" w:top="1110" w:right="1440" w:bottom="0" w:gutter="0" w:footer="0" w:header="0"/>
        </w:sectPr>
      </w:pPr>
    </w:p>
    <w:p>
      <w:pPr>
        <w:ind w:left="1520" w:right="720"/>
        <w:spacing w:after="0" w:line="247" w:lineRule="auto"/>
        <w:rPr>
          <w:sz w:val="20"/>
          <w:szCs w:val="20"/>
          <w:color w:val="auto"/>
        </w:rPr>
      </w:pPr>
      <w:r>
        <w:rPr>
          <w:rFonts w:ascii="Times New Roman" w:cs="Times New Roman" w:eastAsia="Times New Roman" w:hAnsi="Times New Roman"/>
          <w:sz w:val="20"/>
          <w:szCs w:val="20"/>
          <w:color w:val="231F20"/>
        </w:rPr>
        <w:t>To test the recorded amount of vendor allowances, for a sample of vendor contracts, we tested whether the recorded amounts were consistent with the nature of the contractual arrangement and evaluated whether the allowances had been earned as of January 31, 2026, were appropriately recorded in the statement of operations, and were appropriately classified as a reduction of cost of sales based on the contractual terms. For a sample of vendor arrangements, we confirmed the terms of the agreement directly with the vendor.</w:t>
      </w:r>
    </w:p>
    <w:p>
      <w:pPr>
        <w:sectPr>
          <w:pgSz w:w="11880" w:h="15480" w:orient="portrait"/>
          <w:cols w:equalWidth="0" w:num="1">
            <w:col w:w="9360"/>
          </w:cols>
          <w:pgMar w:left="1080" w:top="1110" w:right="1440" w:bottom="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Ernst &amp; Young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2020.</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San Diego, California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w:t>
      </w:r>
      <w:r>
        <w:rPr>
          <w:rFonts w:ascii="Times New Roman" w:cs="Times New Roman" w:eastAsia="Times New Roman" w:hAnsi="Times New Roman"/>
          <w:sz w:val="21"/>
          <w:szCs w:val="21"/>
          <w:color w:val="231F20"/>
        </w:rPr>
        <w:t>arch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9360"/>
          </w:cols>
          <w:pgMar w:left="1080" w:top="1110" w:right="1440" w:bottom="0" w:gutter="0" w:footer="0" w:header="0"/>
          <w:type w:val="continuous"/>
        </w:sectPr>
      </w:pPr>
    </w:p>
    <w:bookmarkStart w:id="74" w:name="page75"/>
    <w:bookmarkEnd w:id="74"/>
    <w:p>
      <w:pPr>
        <w:ind w:right="2560" w:firstLine="2607"/>
        <w:spacing w:after="0" w:line="366" w:lineRule="auto"/>
        <w:rPr>
          <w:sz w:val="20"/>
          <w:szCs w:val="20"/>
          <w:color w:val="auto"/>
        </w:rPr>
      </w:pPr>
      <w:r>
        <w:rPr>
          <w:rFonts w:ascii="Times New Roman" w:cs="Times New Roman" w:eastAsia="Times New Roman" w:hAnsi="Times New Roman"/>
          <w:sz w:val="20"/>
          <w:szCs w:val="20"/>
          <w:b w:val="1"/>
          <w:bCs w:val="1"/>
          <w:color w:val="231F20"/>
        </w:rPr>
        <w:t xml:space="preserve">Report of Independent Registered Public Accounting Firm </w:t>
      </w:r>
      <w:r>
        <w:rPr>
          <w:rFonts w:ascii="Times New Roman" w:cs="Times New Roman" w:eastAsia="Times New Roman" w:hAnsi="Times New Roman"/>
          <w:sz w:val="20"/>
          <w:szCs w:val="20"/>
          <w:color w:val="231F20"/>
        </w:rPr>
        <w:t xml:space="preserve">To the Stockholders and the Board of Directors of Petco Health and Wellness Company, Inc. </w:t>
      </w:r>
      <w:r>
        <w:rPr>
          <w:rFonts w:ascii="Times New Roman" w:cs="Times New Roman" w:eastAsia="Times New Roman" w:hAnsi="Times New Roman"/>
          <w:sz w:val="20"/>
          <w:szCs w:val="20"/>
          <w:b w:val="1"/>
          <w:bCs w:val="1"/>
          <w:color w:val="231F20"/>
        </w:rPr>
        <w:t>Opinion on Internal Control Over Financial Reporting</w:t>
      </w:r>
    </w:p>
    <w:p>
      <w:pPr>
        <w:spacing w:after="0" w:line="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231F20"/>
        </w:rPr>
        <w:t>We have audited Petco Health and Wellness Company, Inc.’s internal control over financial reporting as of January 31, 2026, based on criteria established in Internal Control—Integrated Framework issued by the Committee of Sponsoring Organizations of the Treadway Commission (2013 framework) (the COSO criteria). In our opinion, Petco Health and Wellness Company, Inc. (the Company) maintained, in all material respects, effective internal control over financial reporting as of January 31, 2026, based on the COSO criteria.</w:t>
      </w:r>
    </w:p>
    <w:p>
      <w:pPr>
        <w:spacing w:after="0" w:line="77"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231F20"/>
        </w:rPr>
        <w:t>We also have audited, in accordance with the standards of the Public Company Accounting Oversight Board (United States) (PCAOB), the consolidated balance sheets of the Company as of January 31, 2026 and February 1, 2025, the related consolidated statements of operations, comprehensive income (loss), equity and cash flows for each of the three years in the period ended January 31, 2026, and the related notes and our report dated March 13, 2026, expressed an unqualified opinion thereon.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Basis for Opinion</w:t>
      </w:r>
    </w:p>
    <w:p>
      <w:pPr>
        <w:spacing w:after="0" w:line="124"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20"/>
          <w:szCs w:val="20"/>
          <w:color w:val="231F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231F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8"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20"/>
          <w:szCs w:val="20"/>
          <w:color w:val="231F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Definition and Limitations of Internal Control Over Financial Reporting</w:t>
      </w:r>
    </w:p>
    <w:p>
      <w:pPr>
        <w:spacing w:after="0" w:line="124"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20"/>
          <w:szCs w:val="20"/>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 Ernst &amp; Young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San Diego,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13, 2026</w:t>
      </w:r>
    </w:p>
    <w:p>
      <w:pPr>
        <w:sectPr>
          <w:pgSz w:w="11880" w:h="15480" w:orient="portrait"/>
          <w:cols w:equalWidth="0" w:num="1">
            <w:col w:w="10180"/>
          </w:cols>
          <w:pgMar w:left="820" w:top="876"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10180"/>
          </w:cols>
          <w:pgMar w:left="820" w:top="876" w:right="880" w:bottom="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231F20"/>
        </w:rPr>
        <w:t>PETCO HEALTH AND WELLNESS COMPANY, INC.</w:t>
      </w:r>
    </w:p>
    <w:p>
      <w:pPr>
        <w:spacing w:after="0" w:line="1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231F20"/>
        </w:rPr>
        <w:t>CONSOLIDATED BALANCE SHEETS</w:t>
      </w:r>
    </w:p>
    <w:p>
      <w:pPr>
        <w:spacing w:after="0" w:line="3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231F20"/>
        </w:rPr>
        <w:t>(In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231F20"/>
              </w:rPr>
              <w:t>January 31,</w:t>
            </w:r>
          </w:p>
        </w:tc>
        <w:tc>
          <w:tcPr>
            <w:tcW w:w="220" w:type="dxa"/>
            <w:vAlign w:val="bottom"/>
          </w:tcPr>
          <w:p>
            <w:pPr>
              <w:spacing w:after="0"/>
              <w:rPr>
                <w:sz w:val="14"/>
                <w:szCs w:val="14"/>
                <w:color w:val="auto"/>
              </w:rPr>
            </w:pP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231F20"/>
              </w:rPr>
              <w:t>February 1,</w:t>
            </w:r>
          </w:p>
        </w:tc>
      </w:tr>
      <w:tr>
        <w:trPr>
          <w:trHeight w:val="177"/>
        </w:trPr>
        <w:tc>
          <w:tcPr>
            <w:tcW w:w="6960" w:type="dxa"/>
            <w:vAlign w:val="bottom"/>
            <w:tcBorders>
              <w:bottom w:val="single" w:sz="8" w:color="EAEBEC"/>
            </w:tcBorders>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231F20"/>
              </w:rPr>
              <w:t>2026</w:t>
            </w:r>
          </w:p>
        </w:tc>
        <w:tc>
          <w:tcPr>
            <w:tcW w:w="280" w:type="dxa"/>
            <w:vAlign w:val="bottom"/>
            <w:tcBorders>
              <w:bottom w:val="single" w:sz="8" w:color="EAEBEC"/>
            </w:tcBorders>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80" w:type="dxa"/>
            <w:vAlign w:val="bottom"/>
            <w:tcBorders>
              <w:bottom w:val="single" w:sz="8" w:color="EAEBEC"/>
            </w:tcBorders>
          </w:tcPr>
          <w:p>
            <w:pPr>
              <w:spacing w:after="0"/>
              <w:rPr>
                <w:sz w:val="15"/>
                <w:szCs w:val="15"/>
                <w:color w:val="auto"/>
              </w:rPr>
            </w:pPr>
          </w:p>
        </w:tc>
        <w:tc>
          <w:tcPr>
            <w:tcW w:w="20" w:type="dxa"/>
            <w:vAlign w:val="bottom"/>
            <w:tcBorders>
              <w:bottom w:val="single" w:sz="8" w:color="EAEBEC"/>
            </w:tcBorders>
          </w:tcPr>
          <w:p>
            <w:pPr>
              <w:spacing w:after="0"/>
              <w:rPr>
                <w:sz w:val="15"/>
                <w:szCs w:val="15"/>
                <w:color w:val="auto"/>
              </w:rPr>
            </w:pPr>
          </w:p>
        </w:tc>
      </w:tr>
      <w:tr>
        <w:trPr>
          <w:trHeight w:val="193"/>
        </w:trPr>
        <w:tc>
          <w:tcPr>
            <w:tcW w:w="69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b w:val="1"/>
                <w:bCs w:val="1"/>
                <w:color w:val="231F20"/>
              </w:rPr>
              <w:t>ASSETS</w:t>
            </w:r>
          </w:p>
        </w:tc>
        <w:tc>
          <w:tcPr>
            <w:tcW w:w="220" w:type="dxa"/>
            <w:vAlign w:val="bottom"/>
            <w:shd w:val="clear" w:color="auto" w:fill="EAEBEC"/>
          </w:tcPr>
          <w:p>
            <w:pPr>
              <w:spacing w:after="0"/>
              <w:rPr>
                <w:sz w:val="16"/>
                <w:szCs w:val="16"/>
                <w:color w:val="auto"/>
              </w:rPr>
            </w:pPr>
          </w:p>
        </w:tc>
        <w:tc>
          <w:tcPr>
            <w:tcW w:w="1240" w:type="dxa"/>
            <w:vAlign w:val="bottom"/>
            <w:shd w:val="clear" w:color="auto" w:fill="EAEBEC"/>
          </w:tcPr>
          <w:p>
            <w:pPr>
              <w:spacing w:after="0"/>
              <w:rPr>
                <w:sz w:val="16"/>
                <w:szCs w:val="16"/>
                <w:color w:val="auto"/>
              </w:rPr>
            </w:pPr>
          </w:p>
        </w:tc>
        <w:tc>
          <w:tcPr>
            <w:tcW w:w="280" w:type="dxa"/>
            <w:vAlign w:val="bottom"/>
            <w:shd w:val="clear" w:color="auto" w:fill="EAEBEC"/>
          </w:tcPr>
          <w:p>
            <w:pPr>
              <w:spacing w:after="0"/>
              <w:rPr>
                <w:sz w:val="16"/>
                <w:szCs w:val="16"/>
                <w:color w:val="auto"/>
              </w:rPr>
            </w:pPr>
          </w:p>
        </w:tc>
        <w:tc>
          <w:tcPr>
            <w:tcW w:w="220" w:type="dxa"/>
            <w:vAlign w:val="bottom"/>
            <w:shd w:val="clear" w:color="auto" w:fill="EAEBEC"/>
          </w:tcPr>
          <w:p>
            <w:pPr>
              <w:spacing w:after="0"/>
              <w:rPr>
                <w:sz w:val="16"/>
                <w:szCs w:val="16"/>
                <w:color w:val="auto"/>
              </w:rPr>
            </w:pPr>
          </w:p>
        </w:tc>
        <w:tc>
          <w:tcPr>
            <w:tcW w:w="12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r>
      <w:tr>
        <w:trPr>
          <w:trHeight w:val="198"/>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231F20"/>
              </w:rPr>
              <w:t>Current assets: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69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Cash and cash equivalents</w:t>
            </w:r>
          </w:p>
        </w:tc>
        <w:tc>
          <w:tcPr>
            <w:tcW w:w="220" w:type="dxa"/>
            <w:vAlign w:val="bottom"/>
            <w:shd w:val="clear" w:color="auto" w:fill="EAEBEC"/>
          </w:tcPr>
          <w:p>
            <w:pPr>
              <w:jc w:val="right"/>
              <w:ind w:right="60"/>
              <w:spacing w:after="0"/>
              <w:rPr>
                <w:sz w:val="20"/>
                <w:szCs w:val="20"/>
                <w:color w:val="auto"/>
              </w:rPr>
            </w:pPr>
            <w:r>
              <w:rPr>
                <w:rFonts w:ascii="Times New Roman" w:cs="Times New Roman" w:eastAsia="Times New Roman" w:hAnsi="Times New Roman"/>
                <w:sz w:val="16"/>
                <w:szCs w:val="16"/>
                <w:color w:val="231F20"/>
                <w:w w:val="74"/>
              </w:rPr>
              <w:t>$</w:t>
            </w: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256,736</w:t>
            </w:r>
          </w:p>
        </w:tc>
        <w:tc>
          <w:tcPr>
            <w:tcW w:w="280" w:type="dxa"/>
            <w:vAlign w:val="bottom"/>
            <w:shd w:val="clear" w:color="auto" w:fill="EAEBEC"/>
          </w:tcPr>
          <w:p>
            <w:pPr>
              <w:spacing w:after="0"/>
              <w:rPr>
                <w:sz w:val="17"/>
                <w:szCs w:val="17"/>
                <w:color w:val="auto"/>
              </w:rPr>
            </w:pPr>
          </w:p>
        </w:tc>
        <w:tc>
          <w:tcPr>
            <w:tcW w:w="220" w:type="dxa"/>
            <w:vAlign w:val="bottom"/>
            <w:shd w:val="clear" w:color="auto" w:fill="EAEBEC"/>
          </w:tcPr>
          <w:p>
            <w:pPr>
              <w:jc w:val="right"/>
              <w:ind w:right="60"/>
              <w:spacing w:after="0"/>
              <w:rPr>
                <w:sz w:val="20"/>
                <w:szCs w:val="20"/>
                <w:color w:val="auto"/>
              </w:rPr>
            </w:pPr>
            <w:r>
              <w:rPr>
                <w:rFonts w:ascii="Times New Roman" w:cs="Times New Roman" w:eastAsia="Times New Roman" w:hAnsi="Times New Roman"/>
                <w:sz w:val="16"/>
                <w:szCs w:val="16"/>
                <w:color w:val="231F20"/>
                <w:w w:val="74"/>
              </w:rPr>
              <w:t>$</w:t>
            </w: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165,756</w:t>
            </w:r>
          </w:p>
        </w:tc>
        <w:tc>
          <w:tcPr>
            <w:tcW w:w="80" w:type="dxa"/>
            <w:vAlign w:val="bottom"/>
            <w:shd w:val="clear" w:color="auto" w:fill="EAEBEC"/>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69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Receivables, less allowance for credit losses ($779 and $1,594, respectively)</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45,812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40,425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69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Merchandise inventories, net</w:t>
            </w:r>
          </w:p>
        </w:tc>
        <w:tc>
          <w:tcPr>
            <w:tcW w:w="220" w:type="dxa"/>
            <w:vAlign w:val="bottom"/>
            <w:shd w:val="clear" w:color="auto" w:fill="EAEBEC"/>
          </w:tcPr>
          <w:p>
            <w:pPr>
              <w:spacing w:after="0"/>
              <w:rPr>
                <w:sz w:val="17"/>
                <w:szCs w:val="17"/>
                <w:color w:val="auto"/>
              </w:rPr>
            </w:pP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590,210</w:t>
            </w:r>
          </w:p>
        </w:tc>
        <w:tc>
          <w:tcPr>
            <w:tcW w:w="280" w:type="dxa"/>
            <w:vAlign w:val="bottom"/>
            <w:shd w:val="clear" w:color="auto" w:fill="EAEBEC"/>
          </w:tcPr>
          <w:p>
            <w:pPr>
              <w:spacing w:after="0"/>
              <w:rPr>
                <w:sz w:val="17"/>
                <w:szCs w:val="17"/>
                <w:color w:val="auto"/>
              </w:rPr>
            </w:pPr>
          </w:p>
        </w:tc>
        <w:tc>
          <w:tcPr>
            <w:tcW w:w="220" w:type="dxa"/>
            <w:vAlign w:val="bottom"/>
            <w:shd w:val="clear" w:color="auto" w:fill="EAEBEC"/>
          </w:tcPr>
          <w:p>
            <w:pPr>
              <w:spacing w:after="0"/>
              <w:rPr>
                <w:sz w:val="17"/>
                <w:szCs w:val="17"/>
                <w:color w:val="auto"/>
              </w:rPr>
            </w:pP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653,329</w:t>
            </w:r>
          </w:p>
        </w:tc>
        <w:tc>
          <w:tcPr>
            <w:tcW w:w="80" w:type="dxa"/>
            <w:vAlign w:val="bottom"/>
            <w:shd w:val="clear" w:color="auto" w:fill="EAEBEC"/>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69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Prepaid expenses</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51,747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53,515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69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Other current assets</w:t>
            </w:r>
          </w:p>
        </w:tc>
        <w:tc>
          <w:tcPr>
            <w:tcW w:w="220" w:type="dxa"/>
            <w:vAlign w:val="bottom"/>
            <w:tcBorders>
              <w:bottom w:val="single" w:sz="8" w:color="231F20"/>
            </w:tcBorders>
            <w:shd w:val="clear" w:color="auto" w:fill="EAEBEC"/>
          </w:tcPr>
          <w:p>
            <w:pPr>
              <w:spacing w:after="0"/>
              <w:rPr>
                <w:sz w:val="17"/>
                <w:szCs w:val="17"/>
                <w:color w:val="auto"/>
              </w:rPr>
            </w:pPr>
          </w:p>
        </w:tc>
        <w:tc>
          <w:tcPr>
            <w:tcW w:w="12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75,281</w:t>
            </w:r>
          </w:p>
        </w:tc>
        <w:tc>
          <w:tcPr>
            <w:tcW w:w="280" w:type="dxa"/>
            <w:vAlign w:val="bottom"/>
            <w:shd w:val="clear" w:color="auto" w:fill="EAEBEC"/>
          </w:tcPr>
          <w:p>
            <w:pPr>
              <w:spacing w:after="0"/>
              <w:rPr>
                <w:sz w:val="17"/>
                <w:szCs w:val="17"/>
                <w:color w:val="auto"/>
              </w:rPr>
            </w:pPr>
          </w:p>
        </w:tc>
        <w:tc>
          <w:tcPr>
            <w:tcW w:w="220" w:type="dxa"/>
            <w:vAlign w:val="bottom"/>
            <w:tcBorders>
              <w:bottom w:val="single" w:sz="8" w:color="231F20"/>
            </w:tcBorders>
            <w:shd w:val="clear" w:color="auto" w:fill="EAEBEC"/>
          </w:tcPr>
          <w:p>
            <w:pPr>
              <w:spacing w:after="0"/>
              <w:rPr>
                <w:sz w:val="17"/>
                <w:szCs w:val="17"/>
                <w:color w:val="auto"/>
              </w:rPr>
            </w:pPr>
          </w:p>
        </w:tc>
        <w:tc>
          <w:tcPr>
            <w:tcW w:w="12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60,594</w:t>
            </w:r>
          </w:p>
        </w:tc>
        <w:tc>
          <w:tcPr>
            <w:tcW w:w="80" w:type="dxa"/>
            <w:vAlign w:val="bottom"/>
            <w:shd w:val="clear" w:color="auto" w:fill="EAEBEC"/>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6960" w:type="dxa"/>
            <w:vAlign w:val="bottom"/>
            <w:tcBorders>
              <w:bottom w:val="single" w:sz="8" w:color="EAEBEC"/>
            </w:tcBorders>
          </w:tcPr>
          <w:p>
            <w:pPr>
              <w:ind w:left="400"/>
              <w:spacing w:after="0"/>
              <w:rPr>
                <w:sz w:val="20"/>
                <w:szCs w:val="20"/>
                <w:color w:val="auto"/>
              </w:rPr>
            </w:pPr>
            <w:r>
              <w:rPr>
                <w:rFonts w:ascii="Times New Roman" w:cs="Times New Roman" w:eastAsia="Times New Roman" w:hAnsi="Times New Roman"/>
                <w:sz w:val="16"/>
                <w:szCs w:val="16"/>
                <w:color w:val="231F20"/>
              </w:rPr>
              <w:t>Total current assets</w:t>
            </w:r>
          </w:p>
        </w:tc>
        <w:tc>
          <w:tcPr>
            <w:tcW w:w="220" w:type="dxa"/>
            <w:vAlign w:val="bottom"/>
            <w:tcBorders>
              <w:bottom w:val="single" w:sz="8" w:color="231F20"/>
            </w:tcBorders>
          </w:tcPr>
          <w:p>
            <w:pPr>
              <w:spacing w:after="0"/>
              <w:rPr>
                <w:sz w:val="16"/>
                <w:szCs w:val="16"/>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1,019,786</w:t>
            </w:r>
          </w:p>
        </w:tc>
        <w:tc>
          <w:tcPr>
            <w:tcW w:w="280" w:type="dxa"/>
            <w:vAlign w:val="bottom"/>
            <w:tcBorders>
              <w:bottom w:val="single" w:sz="8" w:color="EAEBEC"/>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973,619</w:t>
            </w:r>
          </w:p>
        </w:tc>
        <w:tc>
          <w:tcPr>
            <w:tcW w:w="80" w:type="dxa"/>
            <w:vAlign w:val="bottom"/>
            <w:tcBorders>
              <w:bottom w:val="single" w:sz="8" w:color="EAEBEC"/>
            </w:tcBorders>
          </w:tcPr>
          <w:p>
            <w:pPr>
              <w:spacing w:after="0"/>
              <w:rPr>
                <w:sz w:val="16"/>
                <w:szCs w:val="16"/>
                <w:color w:val="auto"/>
              </w:rPr>
            </w:pPr>
          </w:p>
        </w:tc>
        <w:tc>
          <w:tcPr>
            <w:tcW w:w="20" w:type="dxa"/>
            <w:vAlign w:val="bottom"/>
            <w:tcBorders>
              <w:bottom w:val="single" w:sz="8" w:color="EAEBEC"/>
            </w:tcBorders>
          </w:tcPr>
          <w:p>
            <w:pPr>
              <w:spacing w:after="0"/>
              <w:rPr>
                <w:sz w:val="16"/>
                <w:szCs w:val="16"/>
                <w:color w:val="auto"/>
              </w:rPr>
            </w:pPr>
          </w:p>
        </w:tc>
      </w:tr>
      <w:tr>
        <w:trPr>
          <w:trHeight w:val="193"/>
        </w:trPr>
        <w:tc>
          <w:tcPr>
            <w:tcW w:w="69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color w:val="231F20"/>
              </w:rPr>
              <w:t>Fixed assets, net</w:t>
            </w:r>
          </w:p>
        </w:tc>
        <w:tc>
          <w:tcPr>
            <w:tcW w:w="220" w:type="dxa"/>
            <w:vAlign w:val="bottom"/>
            <w:shd w:val="clear" w:color="auto" w:fill="EAEBEC"/>
          </w:tcPr>
          <w:p>
            <w:pPr>
              <w:spacing w:after="0"/>
              <w:rPr>
                <w:sz w:val="16"/>
                <w:szCs w:val="16"/>
                <w:color w:val="auto"/>
              </w:rPr>
            </w:pP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656,148</w:t>
            </w:r>
          </w:p>
        </w:tc>
        <w:tc>
          <w:tcPr>
            <w:tcW w:w="280" w:type="dxa"/>
            <w:vAlign w:val="bottom"/>
            <w:shd w:val="clear" w:color="auto" w:fill="EAEBEC"/>
          </w:tcPr>
          <w:p>
            <w:pPr>
              <w:spacing w:after="0"/>
              <w:rPr>
                <w:sz w:val="16"/>
                <w:szCs w:val="16"/>
                <w:color w:val="auto"/>
              </w:rPr>
            </w:pPr>
          </w:p>
        </w:tc>
        <w:tc>
          <w:tcPr>
            <w:tcW w:w="220" w:type="dxa"/>
            <w:vAlign w:val="bottom"/>
            <w:shd w:val="clear" w:color="auto" w:fill="EAEBEC"/>
          </w:tcPr>
          <w:p>
            <w:pPr>
              <w:spacing w:after="0"/>
              <w:rPr>
                <w:sz w:val="16"/>
                <w:szCs w:val="16"/>
                <w:color w:val="auto"/>
              </w:rPr>
            </w:pP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725,438</w:t>
            </w:r>
          </w:p>
        </w:tc>
        <w:tc>
          <w:tcPr>
            <w:tcW w:w="8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r>
      <w:tr>
        <w:trPr>
          <w:trHeight w:val="198"/>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231F20"/>
              </w:rPr>
              <w:t>Operating lease right-of-use assets</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1,288,593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1,302,346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69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color w:val="231F20"/>
              </w:rPr>
              <w:t>Goodwill</w:t>
            </w:r>
          </w:p>
        </w:tc>
        <w:tc>
          <w:tcPr>
            <w:tcW w:w="220" w:type="dxa"/>
            <w:vAlign w:val="bottom"/>
            <w:shd w:val="clear" w:color="auto" w:fill="EAEBEC"/>
          </w:tcPr>
          <w:p>
            <w:pPr>
              <w:spacing w:after="0"/>
              <w:rPr>
                <w:sz w:val="17"/>
                <w:szCs w:val="17"/>
                <w:color w:val="auto"/>
              </w:rPr>
            </w:pP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980,064</w:t>
            </w:r>
          </w:p>
        </w:tc>
        <w:tc>
          <w:tcPr>
            <w:tcW w:w="280" w:type="dxa"/>
            <w:vAlign w:val="bottom"/>
            <w:shd w:val="clear" w:color="auto" w:fill="EAEBEC"/>
          </w:tcPr>
          <w:p>
            <w:pPr>
              <w:spacing w:after="0"/>
              <w:rPr>
                <w:sz w:val="17"/>
                <w:szCs w:val="17"/>
                <w:color w:val="auto"/>
              </w:rPr>
            </w:pPr>
          </w:p>
        </w:tc>
        <w:tc>
          <w:tcPr>
            <w:tcW w:w="220" w:type="dxa"/>
            <w:vAlign w:val="bottom"/>
            <w:shd w:val="clear" w:color="auto" w:fill="EAEBEC"/>
          </w:tcPr>
          <w:p>
            <w:pPr>
              <w:spacing w:after="0"/>
              <w:rPr>
                <w:sz w:val="17"/>
                <w:szCs w:val="17"/>
                <w:color w:val="auto"/>
              </w:rPr>
            </w:pP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980,064</w:t>
            </w:r>
          </w:p>
        </w:tc>
        <w:tc>
          <w:tcPr>
            <w:tcW w:w="80" w:type="dxa"/>
            <w:vAlign w:val="bottom"/>
            <w:shd w:val="clear" w:color="auto" w:fill="EAEBEC"/>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231F20"/>
              </w:rPr>
              <w:t>Trade name</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1,025,000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1,025,000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69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color w:val="231F20"/>
              </w:rPr>
              <w:t>Other long-term assets</w:t>
            </w:r>
          </w:p>
        </w:tc>
        <w:tc>
          <w:tcPr>
            <w:tcW w:w="220" w:type="dxa"/>
            <w:vAlign w:val="bottom"/>
            <w:tcBorders>
              <w:bottom w:val="single" w:sz="8" w:color="231F20"/>
            </w:tcBorders>
            <w:shd w:val="clear" w:color="auto" w:fill="EAEBEC"/>
          </w:tcPr>
          <w:p>
            <w:pPr>
              <w:spacing w:after="0"/>
              <w:rPr>
                <w:sz w:val="17"/>
                <w:szCs w:val="17"/>
                <w:color w:val="auto"/>
              </w:rPr>
            </w:pPr>
          </w:p>
        </w:tc>
        <w:tc>
          <w:tcPr>
            <w:tcW w:w="12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203,834</w:t>
            </w:r>
          </w:p>
        </w:tc>
        <w:tc>
          <w:tcPr>
            <w:tcW w:w="280" w:type="dxa"/>
            <w:vAlign w:val="bottom"/>
            <w:shd w:val="clear" w:color="auto" w:fill="EAEBEC"/>
          </w:tcPr>
          <w:p>
            <w:pPr>
              <w:spacing w:after="0"/>
              <w:rPr>
                <w:sz w:val="17"/>
                <w:szCs w:val="17"/>
                <w:color w:val="auto"/>
              </w:rPr>
            </w:pPr>
          </w:p>
        </w:tc>
        <w:tc>
          <w:tcPr>
            <w:tcW w:w="220" w:type="dxa"/>
            <w:vAlign w:val="bottom"/>
            <w:tcBorders>
              <w:bottom w:val="single" w:sz="8" w:color="231F20"/>
            </w:tcBorders>
            <w:shd w:val="clear" w:color="auto" w:fill="EAEBEC"/>
          </w:tcPr>
          <w:p>
            <w:pPr>
              <w:spacing w:after="0"/>
              <w:rPr>
                <w:sz w:val="17"/>
                <w:szCs w:val="17"/>
                <w:color w:val="auto"/>
              </w:rPr>
            </w:pPr>
          </w:p>
        </w:tc>
        <w:tc>
          <w:tcPr>
            <w:tcW w:w="12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187,963</w:t>
            </w:r>
          </w:p>
        </w:tc>
        <w:tc>
          <w:tcPr>
            <w:tcW w:w="80" w:type="dxa"/>
            <w:vAlign w:val="bottom"/>
            <w:shd w:val="clear" w:color="auto" w:fill="EAEBEC"/>
          </w:tcPr>
          <w:p>
            <w:pPr>
              <w:spacing w:after="0"/>
              <w:rPr>
                <w:sz w:val="17"/>
                <w:szCs w:val="17"/>
                <w:color w:val="auto"/>
              </w:rPr>
            </w:pPr>
          </w:p>
        </w:tc>
        <w:tc>
          <w:tcPr>
            <w:tcW w:w="20" w:type="dxa"/>
            <w:vAlign w:val="bottom"/>
          </w:tcPr>
          <w:p>
            <w:pPr>
              <w:spacing w:after="0"/>
              <w:rPr>
                <w:sz w:val="17"/>
                <w:szCs w:val="17"/>
                <w:color w:val="auto"/>
              </w:rPr>
            </w:pPr>
          </w:p>
        </w:tc>
      </w:tr>
      <w:tr>
        <w:trPr>
          <w:trHeight w:val="233"/>
        </w:trPr>
        <w:tc>
          <w:tcPr>
            <w:tcW w:w="6960" w:type="dxa"/>
            <w:vAlign w:val="bottom"/>
            <w:tcBorders>
              <w:bottom w:val="single" w:sz="8" w:color="EAEBEC"/>
            </w:tcBorders>
          </w:tcPr>
          <w:p>
            <w:pPr>
              <w:ind w:left="400"/>
              <w:spacing w:after="0"/>
              <w:rPr>
                <w:sz w:val="20"/>
                <w:szCs w:val="20"/>
                <w:color w:val="auto"/>
              </w:rPr>
            </w:pPr>
            <w:r>
              <w:rPr>
                <w:rFonts w:ascii="Times New Roman" w:cs="Times New Roman" w:eastAsia="Times New Roman" w:hAnsi="Times New Roman"/>
                <w:sz w:val="16"/>
                <w:szCs w:val="16"/>
                <w:color w:val="231F20"/>
              </w:rPr>
              <w:t>Total assets</w:t>
            </w:r>
          </w:p>
        </w:tc>
        <w:tc>
          <w:tcPr>
            <w:tcW w:w="220" w:type="dxa"/>
            <w:vAlign w:val="bottom"/>
            <w:tcBorders>
              <w:bottom w:val="single" w:sz="8" w:color="231F20"/>
            </w:tcBorders>
          </w:tcPr>
          <w:p>
            <w:pPr>
              <w:jc w:val="right"/>
              <w:ind w:right="60"/>
              <w:spacing w:after="0"/>
              <w:rPr>
                <w:sz w:val="20"/>
                <w:szCs w:val="20"/>
                <w:color w:val="auto"/>
              </w:rPr>
            </w:pPr>
            <w:r>
              <w:rPr>
                <w:rFonts w:ascii="Times New Roman" w:cs="Times New Roman" w:eastAsia="Times New Roman" w:hAnsi="Times New Roman"/>
                <w:sz w:val="16"/>
                <w:szCs w:val="16"/>
                <w:color w:val="231F20"/>
                <w:w w:val="74"/>
              </w:rPr>
              <w:t>$</w:t>
            </w: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5,173,425</w:t>
            </w:r>
          </w:p>
        </w:tc>
        <w:tc>
          <w:tcPr>
            <w:tcW w:w="280" w:type="dxa"/>
            <w:vAlign w:val="bottom"/>
            <w:tcBorders>
              <w:bottom w:val="single" w:sz="8" w:color="EAEBEC"/>
            </w:tcBorders>
          </w:tcPr>
          <w:p>
            <w:pPr>
              <w:spacing w:after="0"/>
              <w:rPr>
                <w:sz w:val="20"/>
                <w:szCs w:val="20"/>
                <w:color w:val="auto"/>
              </w:rPr>
            </w:pPr>
          </w:p>
        </w:tc>
        <w:tc>
          <w:tcPr>
            <w:tcW w:w="220" w:type="dxa"/>
            <w:vAlign w:val="bottom"/>
            <w:tcBorders>
              <w:bottom w:val="single" w:sz="8" w:color="231F20"/>
            </w:tcBorders>
          </w:tcPr>
          <w:p>
            <w:pPr>
              <w:jc w:val="right"/>
              <w:ind w:right="60"/>
              <w:spacing w:after="0"/>
              <w:rPr>
                <w:sz w:val="20"/>
                <w:szCs w:val="20"/>
                <w:color w:val="auto"/>
              </w:rPr>
            </w:pPr>
            <w:r>
              <w:rPr>
                <w:rFonts w:ascii="Times New Roman" w:cs="Times New Roman" w:eastAsia="Times New Roman" w:hAnsi="Times New Roman"/>
                <w:sz w:val="16"/>
                <w:szCs w:val="16"/>
                <w:color w:val="231F20"/>
                <w:w w:val="74"/>
              </w:rPr>
              <w:t>$</w:t>
            </w: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5,194,430</w:t>
            </w:r>
          </w:p>
        </w:tc>
        <w:tc>
          <w:tcPr>
            <w:tcW w:w="80" w:type="dxa"/>
            <w:vAlign w:val="bottom"/>
            <w:tcBorders>
              <w:bottom w:val="single" w:sz="8" w:color="EAEBEC"/>
            </w:tcBorders>
          </w:tcPr>
          <w:p>
            <w:pPr>
              <w:spacing w:after="0"/>
              <w:rPr>
                <w:sz w:val="20"/>
                <w:szCs w:val="20"/>
                <w:color w:val="auto"/>
              </w:rPr>
            </w:pPr>
          </w:p>
        </w:tc>
        <w:tc>
          <w:tcPr>
            <w:tcW w:w="20" w:type="dxa"/>
            <w:vAlign w:val="bottom"/>
            <w:tcBorders>
              <w:bottom w:val="single" w:sz="8" w:color="EAEBEC"/>
            </w:tcBorders>
          </w:tcPr>
          <w:p>
            <w:pPr>
              <w:spacing w:after="0"/>
              <w:rPr>
                <w:sz w:val="20"/>
                <w:szCs w:val="20"/>
                <w:color w:val="auto"/>
              </w:rPr>
            </w:pPr>
          </w:p>
        </w:tc>
      </w:tr>
      <w:tr>
        <w:trPr>
          <w:trHeight w:val="183"/>
        </w:trPr>
        <w:tc>
          <w:tcPr>
            <w:tcW w:w="69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b w:val="1"/>
                <w:bCs w:val="1"/>
                <w:color w:val="231F20"/>
              </w:rPr>
              <w:t>LIABILITIES AND EQUITY</w:t>
            </w:r>
          </w:p>
        </w:tc>
        <w:tc>
          <w:tcPr>
            <w:tcW w:w="220" w:type="dxa"/>
            <w:vAlign w:val="bottom"/>
            <w:shd w:val="clear" w:color="auto" w:fill="EAEBEC"/>
          </w:tcPr>
          <w:p>
            <w:pPr>
              <w:spacing w:after="0"/>
              <w:rPr>
                <w:sz w:val="15"/>
                <w:szCs w:val="15"/>
                <w:color w:val="auto"/>
              </w:rPr>
            </w:pPr>
          </w:p>
        </w:tc>
        <w:tc>
          <w:tcPr>
            <w:tcW w:w="1240" w:type="dxa"/>
            <w:vAlign w:val="bottom"/>
            <w:shd w:val="clear" w:color="auto" w:fill="EAEBEC"/>
          </w:tcPr>
          <w:p>
            <w:pPr>
              <w:spacing w:after="0"/>
              <w:rPr>
                <w:sz w:val="15"/>
                <w:szCs w:val="15"/>
                <w:color w:val="auto"/>
              </w:rPr>
            </w:pPr>
          </w:p>
        </w:tc>
        <w:tc>
          <w:tcPr>
            <w:tcW w:w="280" w:type="dxa"/>
            <w:vAlign w:val="bottom"/>
            <w:shd w:val="clear" w:color="auto" w:fill="EAEBEC"/>
          </w:tcPr>
          <w:p>
            <w:pPr>
              <w:spacing w:after="0"/>
              <w:rPr>
                <w:sz w:val="15"/>
                <w:szCs w:val="15"/>
                <w:color w:val="auto"/>
              </w:rPr>
            </w:pPr>
          </w:p>
        </w:tc>
        <w:tc>
          <w:tcPr>
            <w:tcW w:w="220" w:type="dxa"/>
            <w:vAlign w:val="bottom"/>
            <w:shd w:val="clear" w:color="auto" w:fill="EAEBEC"/>
          </w:tcPr>
          <w:p>
            <w:pPr>
              <w:spacing w:after="0"/>
              <w:rPr>
                <w:sz w:val="15"/>
                <w:szCs w:val="15"/>
                <w:color w:val="auto"/>
              </w:rPr>
            </w:pPr>
          </w:p>
        </w:tc>
        <w:tc>
          <w:tcPr>
            <w:tcW w:w="1240" w:type="dxa"/>
            <w:vAlign w:val="bottom"/>
            <w:shd w:val="clear" w:color="auto" w:fill="EAEBEC"/>
          </w:tcPr>
          <w:p>
            <w:pPr>
              <w:spacing w:after="0"/>
              <w:rPr>
                <w:sz w:val="15"/>
                <w:szCs w:val="15"/>
                <w:color w:val="auto"/>
              </w:rPr>
            </w:pPr>
          </w:p>
        </w:tc>
        <w:tc>
          <w:tcPr>
            <w:tcW w:w="80" w:type="dxa"/>
            <w:vAlign w:val="bottom"/>
            <w:shd w:val="clear" w:color="auto" w:fill="EAEBEC"/>
          </w:tcPr>
          <w:p>
            <w:pPr>
              <w:spacing w:after="0"/>
              <w:rPr>
                <w:sz w:val="15"/>
                <w:szCs w:val="15"/>
                <w:color w:val="auto"/>
              </w:rPr>
            </w:pPr>
          </w:p>
        </w:tc>
        <w:tc>
          <w:tcPr>
            <w:tcW w:w="20" w:type="dxa"/>
            <w:vAlign w:val="bottom"/>
            <w:tcBorders>
              <w:bottom w:val="single" w:sz="8" w:color="EAEBEC"/>
            </w:tcBorders>
            <w:shd w:val="clear" w:color="auto" w:fill="EAEBEC"/>
          </w:tcPr>
          <w:p>
            <w:pPr>
              <w:spacing w:after="0"/>
              <w:rPr>
                <w:sz w:val="15"/>
                <w:szCs w:val="15"/>
                <w:color w:val="auto"/>
              </w:rPr>
            </w:pPr>
          </w:p>
        </w:tc>
      </w:tr>
      <w:tr>
        <w:trPr>
          <w:trHeight w:val="178"/>
        </w:trPr>
        <w:tc>
          <w:tcPr>
            <w:tcW w:w="69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231F20"/>
              </w:rPr>
              <w:t>Current liabilities:</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8"/>
        </w:trPr>
        <w:tc>
          <w:tcPr>
            <w:tcW w:w="69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Accounts payable and book overdrafts</w:t>
            </w:r>
          </w:p>
        </w:tc>
        <w:tc>
          <w:tcPr>
            <w:tcW w:w="220" w:type="dxa"/>
            <w:vAlign w:val="bottom"/>
            <w:shd w:val="clear" w:color="auto" w:fill="EAEBEC"/>
          </w:tcPr>
          <w:p>
            <w:pPr>
              <w:jc w:val="right"/>
              <w:ind w:right="60"/>
              <w:spacing w:after="0"/>
              <w:rPr>
                <w:sz w:val="20"/>
                <w:szCs w:val="20"/>
                <w:color w:val="auto"/>
              </w:rPr>
            </w:pPr>
            <w:r>
              <w:rPr>
                <w:rFonts w:ascii="Times New Roman" w:cs="Times New Roman" w:eastAsia="Times New Roman" w:hAnsi="Times New Roman"/>
                <w:sz w:val="16"/>
                <w:szCs w:val="16"/>
                <w:color w:val="231F20"/>
                <w:w w:val="74"/>
              </w:rPr>
              <w:t>$</w:t>
            </w: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450,552</w:t>
            </w:r>
          </w:p>
        </w:tc>
        <w:tc>
          <w:tcPr>
            <w:tcW w:w="280" w:type="dxa"/>
            <w:vAlign w:val="bottom"/>
            <w:shd w:val="clear" w:color="auto" w:fill="EAEBEC"/>
          </w:tcPr>
          <w:p>
            <w:pPr>
              <w:spacing w:after="0"/>
              <w:rPr>
                <w:sz w:val="17"/>
                <w:szCs w:val="17"/>
                <w:color w:val="auto"/>
              </w:rPr>
            </w:pPr>
          </w:p>
        </w:tc>
        <w:tc>
          <w:tcPr>
            <w:tcW w:w="220" w:type="dxa"/>
            <w:vAlign w:val="bottom"/>
            <w:shd w:val="clear" w:color="auto" w:fill="EAEBEC"/>
          </w:tcPr>
          <w:p>
            <w:pPr>
              <w:jc w:val="right"/>
              <w:ind w:right="60"/>
              <w:spacing w:after="0"/>
              <w:rPr>
                <w:sz w:val="20"/>
                <w:szCs w:val="20"/>
                <w:color w:val="auto"/>
              </w:rPr>
            </w:pPr>
            <w:r>
              <w:rPr>
                <w:rFonts w:ascii="Times New Roman" w:cs="Times New Roman" w:eastAsia="Times New Roman" w:hAnsi="Times New Roman"/>
                <w:sz w:val="16"/>
                <w:szCs w:val="16"/>
                <w:color w:val="231F20"/>
                <w:w w:val="74"/>
              </w:rPr>
              <w:t>$</w:t>
            </w: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492,878</w:t>
            </w:r>
          </w:p>
        </w:tc>
        <w:tc>
          <w:tcPr>
            <w:tcW w:w="80" w:type="dxa"/>
            <w:vAlign w:val="bottom"/>
            <w:shd w:val="clear" w:color="auto" w:fill="EAEBEC"/>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69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Accrued salaries and employee benefits</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154,148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157,460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69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Accrued expenses and other liabilities</w:t>
            </w:r>
          </w:p>
        </w:tc>
        <w:tc>
          <w:tcPr>
            <w:tcW w:w="220" w:type="dxa"/>
            <w:vAlign w:val="bottom"/>
            <w:shd w:val="clear" w:color="auto" w:fill="EAEBEC"/>
          </w:tcPr>
          <w:p>
            <w:pPr>
              <w:spacing w:after="0"/>
              <w:rPr>
                <w:sz w:val="17"/>
                <w:szCs w:val="17"/>
                <w:color w:val="auto"/>
              </w:rPr>
            </w:pP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204,751</w:t>
            </w:r>
          </w:p>
        </w:tc>
        <w:tc>
          <w:tcPr>
            <w:tcW w:w="280" w:type="dxa"/>
            <w:vAlign w:val="bottom"/>
            <w:shd w:val="clear" w:color="auto" w:fill="EAEBEC"/>
          </w:tcPr>
          <w:p>
            <w:pPr>
              <w:spacing w:after="0"/>
              <w:rPr>
                <w:sz w:val="17"/>
                <w:szCs w:val="17"/>
                <w:color w:val="auto"/>
              </w:rPr>
            </w:pPr>
          </w:p>
        </w:tc>
        <w:tc>
          <w:tcPr>
            <w:tcW w:w="220" w:type="dxa"/>
            <w:vAlign w:val="bottom"/>
            <w:shd w:val="clear" w:color="auto" w:fill="EAEBEC"/>
          </w:tcPr>
          <w:p>
            <w:pPr>
              <w:spacing w:after="0"/>
              <w:rPr>
                <w:sz w:val="17"/>
                <w:szCs w:val="17"/>
                <w:color w:val="auto"/>
              </w:rPr>
            </w:pP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177,079</w:t>
            </w:r>
          </w:p>
        </w:tc>
        <w:tc>
          <w:tcPr>
            <w:tcW w:w="80" w:type="dxa"/>
            <w:vAlign w:val="bottom"/>
            <w:shd w:val="clear" w:color="auto" w:fill="EAEBEC"/>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69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Current portion of operating lease liabilities</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320,082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306,400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6960" w:type="dxa"/>
            <w:vAlign w:val="bottom"/>
            <w:tcBorders>
              <w:bottom w:val="single" w:sz="8" w:color="EAEBEC"/>
            </w:tcBorders>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Current portion of long-term debt and other lease liabilities</w:t>
            </w:r>
          </w:p>
        </w:tc>
        <w:tc>
          <w:tcPr>
            <w:tcW w:w="220" w:type="dxa"/>
            <w:vAlign w:val="bottom"/>
            <w:tcBorders>
              <w:bottom w:val="single" w:sz="8" w:color="231F20"/>
            </w:tcBorders>
            <w:shd w:val="clear" w:color="auto" w:fill="EAEBEC"/>
          </w:tcPr>
          <w:p>
            <w:pPr>
              <w:spacing w:after="0"/>
              <w:rPr>
                <w:sz w:val="18"/>
                <w:szCs w:val="18"/>
                <w:color w:val="auto"/>
              </w:rPr>
            </w:pPr>
          </w:p>
        </w:tc>
        <w:tc>
          <w:tcPr>
            <w:tcW w:w="12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4,608</w:t>
            </w:r>
          </w:p>
        </w:tc>
        <w:tc>
          <w:tcPr>
            <w:tcW w:w="280" w:type="dxa"/>
            <w:vAlign w:val="bottom"/>
            <w:tcBorders>
              <w:bottom w:val="single" w:sz="8" w:color="EAEBEC"/>
            </w:tcBorders>
            <w:shd w:val="clear" w:color="auto" w:fill="EAEBEC"/>
          </w:tcPr>
          <w:p>
            <w:pPr>
              <w:spacing w:after="0"/>
              <w:rPr>
                <w:sz w:val="18"/>
                <w:szCs w:val="18"/>
                <w:color w:val="auto"/>
              </w:rPr>
            </w:pPr>
          </w:p>
        </w:tc>
        <w:tc>
          <w:tcPr>
            <w:tcW w:w="220" w:type="dxa"/>
            <w:vAlign w:val="bottom"/>
            <w:tcBorders>
              <w:bottom w:val="single" w:sz="8" w:color="231F20"/>
            </w:tcBorders>
            <w:shd w:val="clear" w:color="auto" w:fill="EAEBEC"/>
          </w:tcPr>
          <w:p>
            <w:pPr>
              <w:spacing w:after="0"/>
              <w:rPr>
                <w:sz w:val="18"/>
                <w:szCs w:val="18"/>
                <w:color w:val="auto"/>
              </w:rPr>
            </w:pPr>
          </w:p>
        </w:tc>
        <w:tc>
          <w:tcPr>
            <w:tcW w:w="12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5,346</w:t>
            </w:r>
          </w:p>
        </w:tc>
        <w:tc>
          <w:tcPr>
            <w:tcW w:w="80" w:type="dxa"/>
            <w:vAlign w:val="bottom"/>
            <w:tcBorders>
              <w:bottom w:val="single" w:sz="8" w:color="EAEBEC"/>
            </w:tcBorders>
            <w:shd w:val="clear" w:color="auto" w:fill="EAEBEC"/>
          </w:tcPr>
          <w:p>
            <w:pPr>
              <w:spacing w:after="0"/>
              <w:rPr>
                <w:sz w:val="18"/>
                <w:szCs w:val="18"/>
                <w:color w:val="auto"/>
              </w:rPr>
            </w:pPr>
          </w:p>
        </w:tc>
        <w:tc>
          <w:tcPr>
            <w:tcW w:w="20" w:type="dxa"/>
            <w:vAlign w:val="bottom"/>
          </w:tcPr>
          <w:p>
            <w:pPr>
              <w:spacing w:after="0"/>
              <w:rPr>
                <w:sz w:val="18"/>
                <w:szCs w:val="18"/>
                <w:color w:val="auto"/>
              </w:rPr>
            </w:pPr>
          </w:p>
        </w:tc>
      </w:tr>
      <w:tr>
        <w:trPr>
          <w:trHeight w:val="173"/>
        </w:trPr>
        <w:tc>
          <w:tcPr>
            <w:tcW w:w="6960" w:type="dxa"/>
            <w:vAlign w:val="bottom"/>
            <w:tcBorders>
              <w:bottom w:val="single" w:sz="8" w:color="EAEBEC"/>
            </w:tcBorders>
          </w:tcPr>
          <w:p>
            <w:pPr>
              <w:ind w:left="400"/>
              <w:spacing w:after="0" w:line="173" w:lineRule="exact"/>
              <w:rPr>
                <w:sz w:val="20"/>
                <w:szCs w:val="20"/>
                <w:color w:val="auto"/>
              </w:rPr>
            </w:pPr>
            <w:r>
              <w:rPr>
                <w:rFonts w:ascii="Times New Roman" w:cs="Times New Roman" w:eastAsia="Times New Roman" w:hAnsi="Times New Roman"/>
                <w:sz w:val="16"/>
                <w:szCs w:val="16"/>
                <w:color w:val="231F20"/>
              </w:rPr>
              <w:t>Total current liabilities</w:t>
            </w:r>
          </w:p>
        </w:tc>
        <w:tc>
          <w:tcPr>
            <w:tcW w:w="22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jc w:val="right"/>
              <w:spacing w:after="0" w:line="173" w:lineRule="exact"/>
              <w:rPr>
                <w:sz w:val="20"/>
                <w:szCs w:val="20"/>
                <w:color w:val="auto"/>
              </w:rPr>
            </w:pPr>
            <w:r>
              <w:rPr>
                <w:rFonts w:ascii="Times New Roman" w:cs="Times New Roman" w:eastAsia="Times New Roman" w:hAnsi="Times New Roman"/>
                <w:sz w:val="16"/>
                <w:szCs w:val="16"/>
                <w:color w:val="231F20"/>
              </w:rPr>
              <w:t>1,134,141</w:t>
            </w:r>
          </w:p>
        </w:tc>
        <w:tc>
          <w:tcPr>
            <w:tcW w:w="280" w:type="dxa"/>
            <w:vAlign w:val="bottom"/>
            <w:tcBorders>
              <w:bottom w:val="single" w:sz="8" w:color="EAEBEC"/>
            </w:tcBorders>
          </w:tcPr>
          <w:p>
            <w:pPr>
              <w:spacing w:after="0"/>
              <w:rPr>
                <w:sz w:val="15"/>
                <w:szCs w:val="15"/>
                <w:color w:val="auto"/>
              </w:rPr>
            </w:pPr>
          </w:p>
        </w:tc>
        <w:tc>
          <w:tcPr>
            <w:tcW w:w="220" w:type="dxa"/>
            <w:vAlign w:val="bottom"/>
            <w:tcBorders>
              <w:bottom w:val="single" w:sz="8" w:color="231F20"/>
            </w:tcBorders>
          </w:tcPr>
          <w:p>
            <w:pPr>
              <w:spacing w:after="0"/>
              <w:rPr>
                <w:sz w:val="15"/>
                <w:szCs w:val="15"/>
                <w:color w:val="auto"/>
              </w:rPr>
            </w:pPr>
          </w:p>
        </w:tc>
        <w:tc>
          <w:tcPr>
            <w:tcW w:w="1240" w:type="dxa"/>
            <w:vAlign w:val="bottom"/>
            <w:tcBorders>
              <w:bottom w:val="single" w:sz="8" w:color="231F20"/>
            </w:tcBorders>
          </w:tcPr>
          <w:p>
            <w:pPr>
              <w:jc w:val="right"/>
              <w:spacing w:after="0" w:line="173" w:lineRule="exact"/>
              <w:rPr>
                <w:sz w:val="20"/>
                <w:szCs w:val="20"/>
                <w:color w:val="auto"/>
              </w:rPr>
            </w:pPr>
            <w:r>
              <w:rPr>
                <w:rFonts w:ascii="Times New Roman" w:cs="Times New Roman" w:eastAsia="Times New Roman" w:hAnsi="Times New Roman"/>
                <w:sz w:val="16"/>
                <w:szCs w:val="16"/>
                <w:color w:val="231F20"/>
              </w:rPr>
              <w:t>1,139,163</w:t>
            </w:r>
          </w:p>
        </w:tc>
        <w:tc>
          <w:tcPr>
            <w:tcW w:w="80" w:type="dxa"/>
            <w:vAlign w:val="bottom"/>
            <w:tcBorders>
              <w:bottom w:val="single" w:sz="8" w:color="EAEBEC"/>
            </w:tcBorders>
          </w:tcPr>
          <w:p>
            <w:pPr>
              <w:spacing w:after="0"/>
              <w:rPr>
                <w:sz w:val="15"/>
                <w:szCs w:val="15"/>
                <w:color w:val="auto"/>
              </w:rPr>
            </w:pPr>
          </w:p>
        </w:tc>
        <w:tc>
          <w:tcPr>
            <w:tcW w:w="20" w:type="dxa"/>
            <w:vAlign w:val="bottom"/>
            <w:tcBorders>
              <w:bottom w:val="single" w:sz="8" w:color="EAEBEC"/>
            </w:tcBorders>
          </w:tcPr>
          <w:p>
            <w:pPr>
              <w:spacing w:after="0"/>
              <w:rPr>
                <w:sz w:val="15"/>
                <w:szCs w:val="15"/>
                <w:color w:val="auto"/>
              </w:rPr>
            </w:pPr>
          </w:p>
        </w:tc>
      </w:tr>
      <w:tr>
        <w:trPr>
          <w:trHeight w:val="193"/>
        </w:trPr>
        <w:tc>
          <w:tcPr>
            <w:tcW w:w="69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color w:val="231F20"/>
              </w:rPr>
              <w:t>Senior secured credit facilities, net, excluding current portion</w:t>
            </w:r>
          </w:p>
        </w:tc>
        <w:tc>
          <w:tcPr>
            <w:tcW w:w="220" w:type="dxa"/>
            <w:vAlign w:val="bottom"/>
            <w:shd w:val="clear" w:color="auto" w:fill="EAEBEC"/>
          </w:tcPr>
          <w:p>
            <w:pPr>
              <w:spacing w:after="0"/>
              <w:rPr>
                <w:sz w:val="16"/>
                <w:szCs w:val="16"/>
                <w:color w:val="auto"/>
              </w:rPr>
            </w:pP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1,488,527</w:t>
            </w:r>
          </w:p>
        </w:tc>
        <w:tc>
          <w:tcPr>
            <w:tcW w:w="280" w:type="dxa"/>
            <w:vAlign w:val="bottom"/>
            <w:shd w:val="clear" w:color="auto" w:fill="EAEBEC"/>
          </w:tcPr>
          <w:p>
            <w:pPr>
              <w:spacing w:after="0"/>
              <w:rPr>
                <w:sz w:val="16"/>
                <w:szCs w:val="16"/>
                <w:color w:val="auto"/>
              </w:rPr>
            </w:pPr>
          </w:p>
        </w:tc>
        <w:tc>
          <w:tcPr>
            <w:tcW w:w="220" w:type="dxa"/>
            <w:vAlign w:val="bottom"/>
            <w:shd w:val="clear" w:color="auto" w:fill="EAEBEC"/>
          </w:tcPr>
          <w:p>
            <w:pPr>
              <w:spacing w:after="0"/>
              <w:rPr>
                <w:sz w:val="16"/>
                <w:szCs w:val="16"/>
                <w:color w:val="auto"/>
              </w:rPr>
            </w:pP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1,578,091</w:t>
            </w:r>
          </w:p>
        </w:tc>
        <w:tc>
          <w:tcPr>
            <w:tcW w:w="80" w:type="dxa"/>
            <w:vAlign w:val="bottom"/>
            <w:shd w:val="clear" w:color="auto" w:fill="EAEBEC"/>
          </w:tcPr>
          <w:p>
            <w:pPr>
              <w:spacing w:after="0"/>
              <w:rPr>
                <w:sz w:val="16"/>
                <w:szCs w:val="16"/>
                <w:color w:val="auto"/>
              </w:rPr>
            </w:pPr>
          </w:p>
        </w:tc>
        <w:tc>
          <w:tcPr>
            <w:tcW w:w="20" w:type="dxa"/>
            <w:vAlign w:val="bottom"/>
            <w:shd w:val="clear" w:color="auto" w:fill="EAEBEC"/>
          </w:tcPr>
          <w:p>
            <w:pPr>
              <w:spacing w:after="0"/>
              <w:rPr>
                <w:sz w:val="16"/>
                <w:szCs w:val="16"/>
                <w:color w:val="auto"/>
              </w:rPr>
            </w:pPr>
          </w:p>
        </w:tc>
      </w:tr>
      <w:tr>
        <w:trPr>
          <w:trHeight w:val="198"/>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231F20"/>
              </w:rPr>
              <w:t>Operating lease liabilities, excluding current portion</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1,047,185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1,037,206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69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color w:val="231F20"/>
              </w:rPr>
              <w:t>Deferred taxes, net</w:t>
            </w:r>
          </w:p>
        </w:tc>
        <w:tc>
          <w:tcPr>
            <w:tcW w:w="220" w:type="dxa"/>
            <w:vAlign w:val="bottom"/>
            <w:shd w:val="clear" w:color="auto" w:fill="EAEBEC"/>
          </w:tcPr>
          <w:p>
            <w:pPr>
              <w:spacing w:after="0"/>
              <w:rPr>
                <w:sz w:val="17"/>
                <w:szCs w:val="17"/>
                <w:color w:val="auto"/>
              </w:rPr>
            </w:pP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234,911</w:t>
            </w:r>
          </w:p>
        </w:tc>
        <w:tc>
          <w:tcPr>
            <w:tcW w:w="280" w:type="dxa"/>
            <w:vAlign w:val="bottom"/>
            <w:shd w:val="clear" w:color="auto" w:fill="EAEBEC"/>
          </w:tcPr>
          <w:p>
            <w:pPr>
              <w:spacing w:after="0"/>
              <w:rPr>
                <w:sz w:val="17"/>
                <w:szCs w:val="17"/>
                <w:color w:val="auto"/>
              </w:rPr>
            </w:pPr>
          </w:p>
        </w:tc>
        <w:tc>
          <w:tcPr>
            <w:tcW w:w="220" w:type="dxa"/>
            <w:vAlign w:val="bottom"/>
            <w:shd w:val="clear" w:color="auto" w:fill="EAEBEC"/>
          </w:tcPr>
          <w:p>
            <w:pPr>
              <w:spacing w:after="0"/>
              <w:rPr>
                <w:sz w:val="17"/>
                <w:szCs w:val="17"/>
                <w:color w:val="auto"/>
              </w:rPr>
            </w:pP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217,712</w:t>
            </w:r>
          </w:p>
        </w:tc>
        <w:tc>
          <w:tcPr>
            <w:tcW w:w="80" w:type="dxa"/>
            <w:vAlign w:val="bottom"/>
            <w:shd w:val="clear" w:color="auto" w:fill="EAEBEC"/>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696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16"/>
                <w:szCs w:val="16"/>
                <w:color w:val="231F20"/>
              </w:rPr>
              <w:t>Other long-term liabilities</w:t>
            </w:r>
          </w:p>
        </w:tc>
        <w:tc>
          <w:tcPr>
            <w:tcW w:w="22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104,407</w:t>
            </w:r>
          </w:p>
        </w:tc>
        <w:tc>
          <w:tcPr>
            <w:tcW w:w="280" w:type="dxa"/>
            <w:vAlign w:val="bottom"/>
            <w:tcBorders>
              <w:bottom w:val="single" w:sz="8" w:color="EAEBEC"/>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6"/>
                <w:szCs w:val="16"/>
                <w:color w:val="231F20"/>
              </w:rPr>
              <w:t>108,628</w:t>
            </w:r>
          </w:p>
        </w:tc>
        <w:tc>
          <w:tcPr>
            <w:tcW w:w="80" w:type="dxa"/>
            <w:vAlign w:val="bottom"/>
            <w:tcBorders>
              <w:bottom w:val="single" w:sz="8" w:color="EAEBEC"/>
            </w:tcBorders>
          </w:tcPr>
          <w:p>
            <w:pPr>
              <w:spacing w:after="0"/>
              <w:rPr>
                <w:sz w:val="17"/>
                <w:szCs w:val="17"/>
                <w:color w:val="auto"/>
              </w:rPr>
            </w:pPr>
          </w:p>
        </w:tc>
        <w:tc>
          <w:tcPr>
            <w:tcW w:w="20" w:type="dxa"/>
            <w:vAlign w:val="bottom"/>
            <w:tcBorders>
              <w:bottom w:val="single" w:sz="8" w:color="EAEBEC"/>
            </w:tcBorders>
          </w:tcPr>
          <w:p>
            <w:pPr>
              <w:spacing w:after="0"/>
              <w:rPr>
                <w:sz w:val="17"/>
                <w:szCs w:val="17"/>
                <w:color w:val="auto"/>
              </w:rPr>
            </w:pPr>
          </w:p>
        </w:tc>
      </w:tr>
      <w:tr>
        <w:trPr>
          <w:trHeight w:val="213"/>
        </w:trPr>
        <w:tc>
          <w:tcPr>
            <w:tcW w:w="6960" w:type="dxa"/>
            <w:vAlign w:val="bottom"/>
            <w:tcBorders>
              <w:bottom w:val="single" w:sz="8" w:color="EAEBEC"/>
            </w:tcBorders>
            <w:shd w:val="clear" w:color="auto" w:fill="EAEBEC"/>
          </w:tcPr>
          <w:p>
            <w:pPr>
              <w:ind w:left="400"/>
              <w:spacing w:after="0"/>
              <w:rPr>
                <w:sz w:val="20"/>
                <w:szCs w:val="20"/>
                <w:color w:val="auto"/>
              </w:rPr>
            </w:pPr>
            <w:r>
              <w:rPr>
                <w:rFonts w:ascii="Times New Roman" w:cs="Times New Roman" w:eastAsia="Times New Roman" w:hAnsi="Times New Roman"/>
                <w:sz w:val="16"/>
                <w:szCs w:val="16"/>
                <w:color w:val="231F20"/>
              </w:rPr>
              <w:t>Total liabilities</w:t>
            </w:r>
          </w:p>
        </w:tc>
        <w:tc>
          <w:tcPr>
            <w:tcW w:w="220" w:type="dxa"/>
            <w:vAlign w:val="bottom"/>
            <w:tcBorders>
              <w:bottom w:val="single" w:sz="8" w:color="231F20"/>
            </w:tcBorders>
            <w:shd w:val="clear" w:color="auto" w:fill="EAEBEC"/>
          </w:tcPr>
          <w:p>
            <w:pPr>
              <w:spacing w:after="0"/>
              <w:rPr>
                <w:sz w:val="18"/>
                <w:szCs w:val="18"/>
                <w:color w:val="auto"/>
              </w:rPr>
            </w:pPr>
          </w:p>
        </w:tc>
        <w:tc>
          <w:tcPr>
            <w:tcW w:w="12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4,009,171</w:t>
            </w:r>
          </w:p>
        </w:tc>
        <w:tc>
          <w:tcPr>
            <w:tcW w:w="280" w:type="dxa"/>
            <w:vAlign w:val="bottom"/>
            <w:tcBorders>
              <w:bottom w:val="single" w:sz="8" w:color="EAEBEC"/>
            </w:tcBorders>
            <w:shd w:val="clear" w:color="auto" w:fill="EAEBEC"/>
          </w:tcPr>
          <w:p>
            <w:pPr>
              <w:spacing w:after="0"/>
              <w:rPr>
                <w:sz w:val="18"/>
                <w:szCs w:val="18"/>
                <w:color w:val="auto"/>
              </w:rPr>
            </w:pPr>
          </w:p>
        </w:tc>
        <w:tc>
          <w:tcPr>
            <w:tcW w:w="220" w:type="dxa"/>
            <w:vAlign w:val="bottom"/>
            <w:tcBorders>
              <w:bottom w:val="single" w:sz="8" w:color="231F20"/>
            </w:tcBorders>
            <w:shd w:val="clear" w:color="auto" w:fill="EAEBEC"/>
          </w:tcPr>
          <w:p>
            <w:pPr>
              <w:spacing w:after="0"/>
              <w:rPr>
                <w:sz w:val="18"/>
                <w:szCs w:val="18"/>
                <w:color w:val="auto"/>
              </w:rPr>
            </w:pPr>
          </w:p>
        </w:tc>
        <w:tc>
          <w:tcPr>
            <w:tcW w:w="12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4,080,800</w:t>
            </w:r>
          </w:p>
        </w:tc>
        <w:tc>
          <w:tcPr>
            <w:tcW w:w="80" w:type="dxa"/>
            <w:vAlign w:val="bottom"/>
            <w:tcBorders>
              <w:bottom w:val="single" w:sz="8" w:color="EAEBEC"/>
            </w:tcBorders>
            <w:shd w:val="clear" w:color="auto" w:fill="EAEBEC"/>
          </w:tcPr>
          <w:p>
            <w:pPr>
              <w:spacing w:after="0"/>
              <w:rPr>
                <w:sz w:val="18"/>
                <w:szCs w:val="18"/>
                <w:color w:val="auto"/>
              </w:rPr>
            </w:pPr>
          </w:p>
        </w:tc>
        <w:tc>
          <w:tcPr>
            <w:tcW w:w="20" w:type="dxa"/>
            <w:vAlign w:val="bottom"/>
            <w:tcBorders>
              <w:bottom w:val="single" w:sz="8" w:color="EAEBEC"/>
            </w:tcBorders>
            <w:shd w:val="clear" w:color="auto" w:fill="EAEBEC"/>
          </w:tcPr>
          <w:p>
            <w:pPr>
              <w:spacing w:after="0"/>
              <w:rPr>
                <w:sz w:val="18"/>
                <w:szCs w:val="18"/>
                <w:color w:val="auto"/>
              </w:rPr>
            </w:pPr>
          </w:p>
        </w:tc>
      </w:tr>
      <w:tr>
        <w:trPr>
          <w:trHeight w:val="173"/>
        </w:trPr>
        <w:tc>
          <w:tcPr>
            <w:tcW w:w="6960" w:type="dxa"/>
            <w:vAlign w:val="bottom"/>
          </w:tcPr>
          <w:p>
            <w:pPr>
              <w:spacing w:after="0" w:line="173" w:lineRule="exact"/>
              <w:rPr>
                <w:sz w:val="20"/>
                <w:szCs w:val="20"/>
                <w:color w:val="auto"/>
              </w:rPr>
            </w:pPr>
            <w:r>
              <w:rPr>
                <w:rFonts w:ascii="Times New Roman" w:cs="Times New Roman" w:eastAsia="Times New Roman" w:hAnsi="Times New Roman"/>
                <w:sz w:val="16"/>
                <w:szCs w:val="16"/>
                <w:color w:val="231F20"/>
              </w:rPr>
              <w:t>Commitments and contingencies (Notes 7 and 14)</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8"/>
        </w:trPr>
        <w:tc>
          <w:tcPr>
            <w:tcW w:w="6960" w:type="dxa"/>
            <w:vAlign w:val="bottom"/>
            <w:shd w:val="clear" w:color="auto" w:fill="EAEBEC"/>
          </w:tcPr>
          <w:p>
            <w:pPr>
              <w:spacing w:after="0"/>
              <w:rPr>
                <w:sz w:val="20"/>
                <w:szCs w:val="20"/>
                <w:color w:val="auto"/>
              </w:rPr>
            </w:pPr>
            <w:r>
              <w:rPr>
                <w:rFonts w:ascii="Times New Roman" w:cs="Times New Roman" w:eastAsia="Times New Roman" w:hAnsi="Times New Roman"/>
                <w:sz w:val="16"/>
                <w:szCs w:val="16"/>
                <w:color w:val="231F20"/>
              </w:rPr>
              <w:t>Stockholders' equity:</w:t>
            </w:r>
          </w:p>
        </w:tc>
        <w:tc>
          <w:tcPr>
            <w:tcW w:w="220" w:type="dxa"/>
            <w:vAlign w:val="bottom"/>
            <w:shd w:val="clear" w:color="auto" w:fill="EAEBEC"/>
          </w:tcPr>
          <w:p>
            <w:pPr>
              <w:spacing w:after="0"/>
              <w:rPr>
                <w:sz w:val="17"/>
                <w:szCs w:val="17"/>
                <w:color w:val="auto"/>
              </w:rPr>
            </w:pPr>
          </w:p>
        </w:tc>
        <w:tc>
          <w:tcPr>
            <w:tcW w:w="1240" w:type="dxa"/>
            <w:vAlign w:val="bottom"/>
            <w:shd w:val="clear" w:color="auto" w:fill="EAEBEC"/>
          </w:tcPr>
          <w:p>
            <w:pPr>
              <w:spacing w:after="0"/>
              <w:rPr>
                <w:sz w:val="17"/>
                <w:szCs w:val="17"/>
                <w:color w:val="auto"/>
              </w:rPr>
            </w:pPr>
          </w:p>
        </w:tc>
        <w:tc>
          <w:tcPr>
            <w:tcW w:w="280" w:type="dxa"/>
            <w:vAlign w:val="bottom"/>
            <w:shd w:val="clear" w:color="auto" w:fill="EAEBEC"/>
          </w:tcPr>
          <w:p>
            <w:pPr>
              <w:spacing w:after="0"/>
              <w:rPr>
                <w:sz w:val="17"/>
                <w:szCs w:val="17"/>
                <w:color w:val="auto"/>
              </w:rPr>
            </w:pPr>
          </w:p>
        </w:tc>
        <w:tc>
          <w:tcPr>
            <w:tcW w:w="220" w:type="dxa"/>
            <w:vAlign w:val="bottom"/>
            <w:shd w:val="clear" w:color="auto" w:fill="EAEBEC"/>
          </w:tcPr>
          <w:p>
            <w:pPr>
              <w:spacing w:after="0"/>
              <w:rPr>
                <w:sz w:val="17"/>
                <w:szCs w:val="17"/>
                <w:color w:val="auto"/>
              </w:rPr>
            </w:pPr>
          </w:p>
        </w:tc>
        <w:tc>
          <w:tcPr>
            <w:tcW w:w="1240" w:type="dxa"/>
            <w:vAlign w:val="bottom"/>
            <w:shd w:val="clear" w:color="auto" w:fill="EAEBEC"/>
          </w:tcPr>
          <w:p>
            <w:pPr>
              <w:spacing w:after="0"/>
              <w:rPr>
                <w:sz w:val="17"/>
                <w:szCs w:val="17"/>
                <w:color w:val="auto"/>
              </w:rPr>
            </w:pPr>
          </w:p>
        </w:tc>
        <w:tc>
          <w:tcPr>
            <w:tcW w:w="80" w:type="dxa"/>
            <w:vAlign w:val="bottom"/>
            <w:shd w:val="clear" w:color="auto" w:fill="EAEBEC"/>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6960" w:type="dxa"/>
            <w:vAlign w:val="bottom"/>
          </w:tcPr>
          <w:p>
            <w:pPr>
              <w:ind w:left="200"/>
              <w:spacing w:after="0" w:line="183" w:lineRule="exact"/>
              <w:rPr>
                <w:sz w:val="20"/>
                <w:szCs w:val="20"/>
                <w:color w:val="auto"/>
              </w:rPr>
            </w:pPr>
            <w:r>
              <w:rPr>
                <w:rFonts w:ascii="Times New Roman" w:cs="Times New Roman" w:eastAsia="Times New Roman" w:hAnsi="Times New Roman"/>
                <w:sz w:val="16"/>
                <w:szCs w:val="16"/>
                <w:color w:val="231F20"/>
              </w:rPr>
              <w:t>Class A common stock, $0.001 par value: Authorized - 1.0 billion shares;</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9"/>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231F20"/>
              </w:rPr>
              <w:t>Issued and outstanding - 243.7 million and 239.1 million shares, respectively</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244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6960" w:type="dxa"/>
            <w:vAlign w:val="bottom"/>
            <w:shd w:val="clear" w:color="auto" w:fill="EAEBEC"/>
          </w:tcPr>
          <w:p>
            <w:pPr>
              <w:ind w:left="200"/>
              <w:spacing w:after="0" w:line="183" w:lineRule="exact"/>
              <w:rPr>
                <w:sz w:val="20"/>
                <w:szCs w:val="20"/>
                <w:color w:val="auto"/>
              </w:rPr>
            </w:pPr>
            <w:r>
              <w:rPr>
                <w:rFonts w:ascii="Times New Roman" w:cs="Times New Roman" w:eastAsia="Times New Roman" w:hAnsi="Times New Roman"/>
                <w:sz w:val="16"/>
                <w:szCs w:val="16"/>
                <w:color w:val="231F20"/>
              </w:rPr>
              <w:t>Class B-1 common stock, $0.001 par value: Authorized - 75.0 million shares;</w:t>
            </w:r>
          </w:p>
        </w:tc>
        <w:tc>
          <w:tcPr>
            <w:tcW w:w="220" w:type="dxa"/>
            <w:vAlign w:val="bottom"/>
            <w:shd w:val="clear" w:color="auto" w:fill="EAEBEC"/>
          </w:tcPr>
          <w:p>
            <w:pPr>
              <w:spacing w:after="0"/>
              <w:rPr>
                <w:sz w:val="15"/>
                <w:szCs w:val="15"/>
                <w:color w:val="auto"/>
              </w:rPr>
            </w:pPr>
          </w:p>
        </w:tc>
        <w:tc>
          <w:tcPr>
            <w:tcW w:w="1240" w:type="dxa"/>
            <w:vAlign w:val="bottom"/>
            <w:shd w:val="clear" w:color="auto" w:fill="EAEBEC"/>
          </w:tcPr>
          <w:p>
            <w:pPr>
              <w:spacing w:after="0"/>
              <w:rPr>
                <w:sz w:val="15"/>
                <w:szCs w:val="15"/>
                <w:color w:val="auto"/>
              </w:rPr>
            </w:pPr>
          </w:p>
        </w:tc>
        <w:tc>
          <w:tcPr>
            <w:tcW w:w="280" w:type="dxa"/>
            <w:vAlign w:val="bottom"/>
            <w:shd w:val="clear" w:color="auto" w:fill="EAEBEC"/>
          </w:tcPr>
          <w:p>
            <w:pPr>
              <w:spacing w:after="0"/>
              <w:rPr>
                <w:sz w:val="15"/>
                <w:szCs w:val="15"/>
                <w:color w:val="auto"/>
              </w:rPr>
            </w:pPr>
          </w:p>
        </w:tc>
        <w:tc>
          <w:tcPr>
            <w:tcW w:w="220" w:type="dxa"/>
            <w:vAlign w:val="bottom"/>
            <w:shd w:val="clear" w:color="auto" w:fill="EAEBEC"/>
          </w:tcPr>
          <w:p>
            <w:pPr>
              <w:spacing w:after="0"/>
              <w:rPr>
                <w:sz w:val="15"/>
                <w:szCs w:val="15"/>
                <w:color w:val="auto"/>
              </w:rPr>
            </w:pPr>
          </w:p>
        </w:tc>
        <w:tc>
          <w:tcPr>
            <w:tcW w:w="1240" w:type="dxa"/>
            <w:vAlign w:val="bottom"/>
            <w:shd w:val="clear" w:color="auto" w:fill="EAEBEC"/>
          </w:tcPr>
          <w:p>
            <w:pPr>
              <w:spacing w:after="0"/>
              <w:rPr>
                <w:sz w:val="15"/>
                <w:szCs w:val="15"/>
                <w:color w:val="auto"/>
              </w:rPr>
            </w:pPr>
          </w:p>
        </w:tc>
        <w:tc>
          <w:tcPr>
            <w:tcW w:w="80" w:type="dxa"/>
            <w:vAlign w:val="bottom"/>
            <w:shd w:val="clear" w:color="auto" w:fill="EAEBEC"/>
          </w:tcPr>
          <w:p>
            <w:pPr>
              <w:spacing w:after="0"/>
              <w:rPr>
                <w:sz w:val="15"/>
                <w:szCs w:val="15"/>
                <w:color w:val="auto"/>
              </w:rPr>
            </w:pPr>
          </w:p>
        </w:tc>
        <w:tc>
          <w:tcPr>
            <w:tcW w:w="20" w:type="dxa"/>
            <w:vAlign w:val="bottom"/>
          </w:tcPr>
          <w:p>
            <w:pPr>
              <w:spacing w:after="0"/>
              <w:rPr>
                <w:sz w:val="15"/>
                <w:szCs w:val="15"/>
                <w:color w:val="auto"/>
              </w:rPr>
            </w:pPr>
          </w:p>
        </w:tc>
      </w:tr>
      <w:tr>
        <w:trPr>
          <w:trHeight w:val="199"/>
        </w:trPr>
        <w:tc>
          <w:tcPr>
            <w:tcW w:w="6960" w:type="dxa"/>
            <w:vAlign w:val="bottom"/>
            <w:shd w:val="clear" w:color="auto" w:fill="EAEBEC"/>
          </w:tcPr>
          <w:p>
            <w:pPr>
              <w:ind w:left="360"/>
              <w:spacing w:after="0"/>
              <w:rPr>
                <w:sz w:val="20"/>
                <w:szCs w:val="20"/>
                <w:color w:val="auto"/>
              </w:rPr>
            </w:pPr>
            <w:r>
              <w:rPr>
                <w:rFonts w:ascii="Times New Roman" w:cs="Times New Roman" w:eastAsia="Times New Roman" w:hAnsi="Times New Roman"/>
                <w:sz w:val="16"/>
                <w:szCs w:val="16"/>
                <w:color w:val="231F20"/>
              </w:rPr>
              <w:t>Issued and outstanding - 37.8 million shares</w:t>
            </w:r>
          </w:p>
        </w:tc>
        <w:tc>
          <w:tcPr>
            <w:tcW w:w="220" w:type="dxa"/>
            <w:vAlign w:val="bottom"/>
            <w:shd w:val="clear" w:color="auto" w:fill="EAEBEC"/>
          </w:tcPr>
          <w:p>
            <w:pPr>
              <w:spacing w:after="0"/>
              <w:rPr>
                <w:sz w:val="17"/>
                <w:szCs w:val="17"/>
                <w:color w:val="auto"/>
              </w:rPr>
            </w:pP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38</w:t>
            </w:r>
          </w:p>
        </w:tc>
        <w:tc>
          <w:tcPr>
            <w:tcW w:w="280" w:type="dxa"/>
            <w:vAlign w:val="bottom"/>
            <w:shd w:val="clear" w:color="auto" w:fill="EAEBEC"/>
          </w:tcPr>
          <w:p>
            <w:pPr>
              <w:spacing w:after="0"/>
              <w:rPr>
                <w:sz w:val="17"/>
                <w:szCs w:val="17"/>
                <w:color w:val="auto"/>
              </w:rPr>
            </w:pPr>
          </w:p>
        </w:tc>
        <w:tc>
          <w:tcPr>
            <w:tcW w:w="220" w:type="dxa"/>
            <w:vAlign w:val="bottom"/>
            <w:shd w:val="clear" w:color="auto" w:fill="EAEBEC"/>
          </w:tcPr>
          <w:p>
            <w:pPr>
              <w:spacing w:after="0"/>
              <w:rPr>
                <w:sz w:val="17"/>
                <w:szCs w:val="17"/>
                <w:color w:val="auto"/>
              </w:rPr>
            </w:pP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38</w:t>
            </w:r>
          </w:p>
        </w:tc>
        <w:tc>
          <w:tcPr>
            <w:tcW w:w="80" w:type="dxa"/>
            <w:vAlign w:val="bottom"/>
            <w:shd w:val="clear" w:color="auto" w:fill="EAEBEC"/>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6960" w:type="dxa"/>
            <w:vAlign w:val="bottom"/>
          </w:tcPr>
          <w:p>
            <w:pPr>
              <w:ind w:left="200"/>
              <w:spacing w:after="0" w:line="183" w:lineRule="exact"/>
              <w:rPr>
                <w:sz w:val="20"/>
                <w:szCs w:val="20"/>
                <w:color w:val="auto"/>
              </w:rPr>
            </w:pPr>
            <w:r>
              <w:rPr>
                <w:rFonts w:ascii="Times New Roman" w:cs="Times New Roman" w:eastAsia="Times New Roman" w:hAnsi="Times New Roman"/>
                <w:sz w:val="16"/>
                <w:szCs w:val="16"/>
                <w:color w:val="231F20"/>
              </w:rPr>
              <w:t>Class B-2 common stock, $0.000001 par value: Authorized - 75.0 million shares;</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9"/>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231F20"/>
              </w:rPr>
              <w:t>Issued and outstanding - 37.8 million shares</w:t>
            </w:r>
          </w:p>
        </w:tc>
        <w:tc>
          <w:tcPr>
            <w:tcW w:w="22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tcPr>
          <w:p>
            <w:pPr>
              <w:spacing w:after="0"/>
              <w:rPr>
                <w:sz w:val="17"/>
                <w:szCs w:val="17"/>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231F20"/>
              </w:rPr>
              <w:t>—</w:t>
            </w:r>
          </w:p>
        </w:tc>
      </w:tr>
      <w:tr>
        <w:trPr>
          <w:trHeight w:val="183"/>
        </w:trPr>
        <w:tc>
          <w:tcPr>
            <w:tcW w:w="6960" w:type="dxa"/>
            <w:vAlign w:val="bottom"/>
            <w:shd w:val="clear" w:color="auto" w:fill="EAEBEC"/>
          </w:tcPr>
          <w:p>
            <w:pPr>
              <w:ind w:left="200"/>
              <w:spacing w:after="0" w:line="183" w:lineRule="exact"/>
              <w:rPr>
                <w:sz w:val="20"/>
                <w:szCs w:val="20"/>
                <w:color w:val="auto"/>
              </w:rPr>
            </w:pPr>
            <w:r>
              <w:rPr>
                <w:rFonts w:ascii="Times New Roman" w:cs="Times New Roman" w:eastAsia="Times New Roman" w:hAnsi="Times New Roman"/>
                <w:sz w:val="16"/>
                <w:szCs w:val="16"/>
                <w:color w:val="231F20"/>
              </w:rPr>
              <w:t>Preferred stock, $0.001 par value: Authorized - 25.0 million shares;</w:t>
            </w:r>
          </w:p>
        </w:tc>
        <w:tc>
          <w:tcPr>
            <w:tcW w:w="220" w:type="dxa"/>
            <w:vAlign w:val="bottom"/>
            <w:shd w:val="clear" w:color="auto" w:fill="EAEBEC"/>
          </w:tcPr>
          <w:p>
            <w:pPr>
              <w:spacing w:after="0"/>
              <w:rPr>
                <w:sz w:val="15"/>
                <w:szCs w:val="15"/>
                <w:color w:val="auto"/>
              </w:rPr>
            </w:pPr>
          </w:p>
        </w:tc>
        <w:tc>
          <w:tcPr>
            <w:tcW w:w="1240" w:type="dxa"/>
            <w:vAlign w:val="bottom"/>
            <w:shd w:val="clear" w:color="auto" w:fill="EAEBEC"/>
          </w:tcPr>
          <w:p>
            <w:pPr>
              <w:spacing w:after="0"/>
              <w:rPr>
                <w:sz w:val="15"/>
                <w:szCs w:val="15"/>
                <w:color w:val="auto"/>
              </w:rPr>
            </w:pPr>
          </w:p>
        </w:tc>
        <w:tc>
          <w:tcPr>
            <w:tcW w:w="280" w:type="dxa"/>
            <w:vAlign w:val="bottom"/>
            <w:shd w:val="clear" w:color="auto" w:fill="EAEBEC"/>
          </w:tcPr>
          <w:p>
            <w:pPr>
              <w:spacing w:after="0"/>
              <w:rPr>
                <w:sz w:val="15"/>
                <w:szCs w:val="15"/>
                <w:color w:val="auto"/>
              </w:rPr>
            </w:pPr>
          </w:p>
        </w:tc>
        <w:tc>
          <w:tcPr>
            <w:tcW w:w="220" w:type="dxa"/>
            <w:vAlign w:val="bottom"/>
            <w:shd w:val="clear" w:color="auto" w:fill="EAEBEC"/>
          </w:tcPr>
          <w:p>
            <w:pPr>
              <w:spacing w:after="0"/>
              <w:rPr>
                <w:sz w:val="15"/>
                <w:szCs w:val="15"/>
                <w:color w:val="auto"/>
              </w:rPr>
            </w:pPr>
          </w:p>
        </w:tc>
        <w:tc>
          <w:tcPr>
            <w:tcW w:w="1240" w:type="dxa"/>
            <w:vAlign w:val="bottom"/>
            <w:shd w:val="clear" w:color="auto" w:fill="EAEBEC"/>
          </w:tcPr>
          <w:p>
            <w:pPr>
              <w:spacing w:after="0"/>
              <w:rPr>
                <w:sz w:val="15"/>
                <w:szCs w:val="15"/>
                <w:color w:val="auto"/>
              </w:rPr>
            </w:pPr>
          </w:p>
        </w:tc>
        <w:tc>
          <w:tcPr>
            <w:tcW w:w="80" w:type="dxa"/>
            <w:vAlign w:val="bottom"/>
            <w:shd w:val="clear" w:color="auto" w:fill="EAEBEC"/>
          </w:tcPr>
          <w:p>
            <w:pPr>
              <w:spacing w:after="0"/>
              <w:rPr>
                <w:sz w:val="15"/>
                <w:szCs w:val="15"/>
                <w:color w:val="auto"/>
              </w:rPr>
            </w:pPr>
          </w:p>
        </w:tc>
        <w:tc>
          <w:tcPr>
            <w:tcW w:w="20" w:type="dxa"/>
            <w:vAlign w:val="bottom"/>
          </w:tcPr>
          <w:p>
            <w:pPr>
              <w:spacing w:after="0"/>
              <w:rPr>
                <w:sz w:val="15"/>
                <w:szCs w:val="15"/>
                <w:color w:val="auto"/>
              </w:rPr>
            </w:pPr>
          </w:p>
        </w:tc>
      </w:tr>
      <w:tr>
        <w:trPr>
          <w:trHeight w:val="199"/>
        </w:trPr>
        <w:tc>
          <w:tcPr>
            <w:tcW w:w="6960" w:type="dxa"/>
            <w:vAlign w:val="bottom"/>
            <w:shd w:val="clear" w:color="auto" w:fill="EAEBEC"/>
          </w:tcPr>
          <w:p>
            <w:pPr>
              <w:ind w:left="360"/>
              <w:spacing w:after="0"/>
              <w:rPr>
                <w:sz w:val="20"/>
                <w:szCs w:val="20"/>
                <w:color w:val="auto"/>
              </w:rPr>
            </w:pPr>
            <w:r>
              <w:rPr>
                <w:rFonts w:ascii="Times New Roman" w:cs="Times New Roman" w:eastAsia="Times New Roman" w:hAnsi="Times New Roman"/>
                <w:sz w:val="16"/>
                <w:szCs w:val="16"/>
                <w:color w:val="231F20"/>
              </w:rPr>
              <w:t>Issued and outstanding - none</w:t>
            </w:r>
          </w:p>
        </w:tc>
        <w:tc>
          <w:tcPr>
            <w:tcW w:w="220" w:type="dxa"/>
            <w:vAlign w:val="bottom"/>
            <w:shd w:val="clear" w:color="auto" w:fill="EAEBEC"/>
          </w:tcPr>
          <w:p>
            <w:pPr>
              <w:spacing w:after="0"/>
              <w:rPr>
                <w:sz w:val="17"/>
                <w:szCs w:val="17"/>
                <w:color w:val="auto"/>
              </w:rPr>
            </w:pPr>
          </w:p>
        </w:tc>
        <w:tc>
          <w:tcPr>
            <w:tcW w:w="1520" w:type="dxa"/>
            <w:vAlign w:val="bottom"/>
            <w:gridSpan w:val="2"/>
            <w:shd w:val="clear" w:color="auto" w:fill="EAEBEC"/>
          </w:tcPr>
          <w:p>
            <w:pPr>
              <w:jc w:val="right"/>
              <w:ind w:right="280"/>
              <w:spacing w:after="0"/>
              <w:rPr>
                <w:sz w:val="20"/>
                <w:szCs w:val="20"/>
                <w:color w:val="auto"/>
              </w:rPr>
            </w:pPr>
            <w:r>
              <w:rPr>
                <w:rFonts w:ascii="Times New Roman" w:cs="Times New Roman" w:eastAsia="Times New Roman" w:hAnsi="Times New Roman"/>
                <w:sz w:val="16"/>
                <w:szCs w:val="16"/>
                <w:color w:val="231F20"/>
              </w:rPr>
              <w:t>—</w:t>
            </w:r>
          </w:p>
        </w:tc>
        <w:tc>
          <w:tcPr>
            <w:tcW w:w="220" w:type="dxa"/>
            <w:vAlign w:val="bottom"/>
            <w:shd w:val="clear" w:color="auto" w:fill="EAEBEC"/>
          </w:tcPr>
          <w:p>
            <w:pPr>
              <w:spacing w:after="0"/>
              <w:rPr>
                <w:sz w:val="17"/>
                <w:szCs w:val="17"/>
                <w:color w:val="auto"/>
              </w:rPr>
            </w:pPr>
          </w:p>
        </w:tc>
        <w:tc>
          <w:tcPr>
            <w:tcW w:w="132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20" w:type="dxa"/>
            <w:vAlign w:val="bottom"/>
          </w:tcPr>
          <w:p>
            <w:pPr>
              <w:spacing w:after="0"/>
              <w:rPr>
                <w:sz w:val="17"/>
                <w:szCs w:val="17"/>
                <w:color w:val="auto"/>
              </w:rPr>
            </w:pPr>
          </w:p>
        </w:tc>
      </w:tr>
      <w:tr>
        <w:trPr>
          <w:trHeight w:val="198"/>
        </w:trPr>
        <w:tc>
          <w:tcPr>
            <w:tcW w:w="69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Additional paid-in-capital</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2,312,354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2,280,495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69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6"/>
                <w:szCs w:val="16"/>
                <w:color w:val="231F20"/>
              </w:rPr>
              <w:t>Accumulated deficit</w:t>
            </w:r>
          </w:p>
        </w:tc>
        <w:tc>
          <w:tcPr>
            <w:tcW w:w="220" w:type="dxa"/>
            <w:vAlign w:val="bottom"/>
            <w:shd w:val="clear" w:color="auto" w:fill="EAEBEC"/>
          </w:tcPr>
          <w:p>
            <w:pPr>
              <w:spacing w:after="0"/>
              <w:rPr>
                <w:sz w:val="17"/>
                <w:szCs w:val="17"/>
                <w:color w:val="auto"/>
              </w:rPr>
            </w:pPr>
          </w:p>
        </w:tc>
        <w:tc>
          <w:tcPr>
            <w:tcW w:w="1520" w:type="dxa"/>
            <w:vAlign w:val="bottom"/>
            <w:gridSpan w:val="2"/>
            <w:shd w:val="clear" w:color="auto" w:fill="EAEBEC"/>
          </w:tcPr>
          <w:p>
            <w:pPr>
              <w:jc w:val="right"/>
              <w:ind w:right="220"/>
              <w:spacing w:after="0"/>
              <w:rPr>
                <w:sz w:val="20"/>
                <w:szCs w:val="20"/>
                <w:color w:val="auto"/>
              </w:rPr>
            </w:pPr>
            <w:r>
              <w:rPr>
                <w:rFonts w:ascii="Times New Roman" w:cs="Times New Roman" w:eastAsia="Times New Roman" w:hAnsi="Times New Roman"/>
                <w:sz w:val="16"/>
                <w:szCs w:val="16"/>
                <w:color w:val="231F20"/>
              </w:rPr>
              <w:t>(1,139,993)</w:t>
            </w:r>
          </w:p>
        </w:tc>
        <w:tc>
          <w:tcPr>
            <w:tcW w:w="220" w:type="dxa"/>
            <w:vAlign w:val="bottom"/>
            <w:shd w:val="clear" w:color="auto" w:fill="EAEBEC"/>
          </w:tcPr>
          <w:p>
            <w:pPr>
              <w:spacing w:after="0"/>
              <w:rPr>
                <w:sz w:val="17"/>
                <w:szCs w:val="17"/>
                <w:color w:val="auto"/>
              </w:rPr>
            </w:pPr>
          </w:p>
        </w:tc>
        <w:tc>
          <w:tcPr>
            <w:tcW w:w="132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16"/>
                <w:szCs w:val="16"/>
                <w:color w:val="231F20"/>
              </w:rPr>
              <w:t>(1,149,059)</w:t>
            </w:r>
          </w:p>
        </w:tc>
        <w:tc>
          <w:tcPr>
            <w:tcW w:w="20" w:type="dxa"/>
            <w:vAlign w:val="bottom"/>
          </w:tcPr>
          <w:p>
            <w:pPr>
              <w:spacing w:after="0"/>
              <w:rPr>
                <w:sz w:val="17"/>
                <w:szCs w:val="17"/>
                <w:color w:val="auto"/>
              </w:rPr>
            </w:pPr>
          </w:p>
        </w:tc>
      </w:tr>
      <w:tr>
        <w:trPr>
          <w:trHeight w:val="198"/>
        </w:trPr>
        <w:tc>
          <w:tcPr>
            <w:tcW w:w="6960" w:type="dxa"/>
            <w:vAlign w:val="bottom"/>
          </w:tcPr>
          <w:p>
            <w:pPr>
              <w:ind w:left="200"/>
              <w:spacing w:after="0"/>
              <w:rPr>
                <w:sz w:val="20"/>
                <w:szCs w:val="20"/>
                <w:color w:val="auto"/>
              </w:rPr>
            </w:pPr>
            <w:r>
              <w:rPr>
                <w:rFonts w:ascii="Times New Roman" w:cs="Times New Roman" w:eastAsia="Times New Roman" w:hAnsi="Times New Roman"/>
                <w:sz w:val="16"/>
                <w:szCs w:val="16"/>
                <w:color w:val="231F20"/>
              </w:rPr>
              <w:t>Accumulated other comprehensive loss</w:t>
            </w:r>
          </w:p>
        </w:tc>
        <w:tc>
          <w:tcPr>
            <w:tcW w:w="22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31F20"/>
              </w:rPr>
              <w:t>(8,389)</w:t>
            </w:r>
          </w:p>
        </w:tc>
        <w:tc>
          <w:tcPr>
            <w:tcW w:w="22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231F20"/>
              </w:rPr>
              <w:t>(18,083)</w:t>
            </w:r>
          </w:p>
        </w:tc>
        <w:tc>
          <w:tcPr>
            <w:tcW w:w="20" w:type="dxa"/>
            <w:vAlign w:val="bottom"/>
          </w:tcPr>
          <w:p>
            <w:pPr>
              <w:spacing w:after="0"/>
              <w:rPr>
                <w:sz w:val="17"/>
                <w:szCs w:val="17"/>
                <w:color w:val="auto"/>
              </w:rPr>
            </w:pPr>
          </w:p>
        </w:tc>
      </w:tr>
      <w:tr>
        <w:trPr>
          <w:trHeight w:val="213"/>
        </w:trPr>
        <w:tc>
          <w:tcPr>
            <w:tcW w:w="6960" w:type="dxa"/>
            <w:vAlign w:val="bottom"/>
            <w:tcBorders>
              <w:top w:val="single" w:sz="8" w:color="EAEBEC"/>
              <w:bottom w:val="single" w:sz="8" w:color="EAEBEC"/>
            </w:tcBorders>
            <w:shd w:val="clear" w:color="auto" w:fill="EAEBEC"/>
          </w:tcPr>
          <w:p>
            <w:pPr>
              <w:ind w:left="400"/>
              <w:spacing w:after="0"/>
              <w:rPr>
                <w:sz w:val="20"/>
                <w:szCs w:val="20"/>
                <w:color w:val="auto"/>
              </w:rPr>
            </w:pPr>
            <w:r>
              <w:rPr>
                <w:rFonts w:ascii="Times New Roman" w:cs="Times New Roman" w:eastAsia="Times New Roman" w:hAnsi="Times New Roman"/>
                <w:sz w:val="16"/>
                <w:szCs w:val="16"/>
                <w:color w:val="231F20"/>
              </w:rPr>
              <w:t>Total stockholders’ equity</w:t>
            </w:r>
          </w:p>
        </w:tc>
        <w:tc>
          <w:tcPr>
            <w:tcW w:w="220" w:type="dxa"/>
            <w:vAlign w:val="bottom"/>
            <w:tcBorders>
              <w:top w:val="single" w:sz="8" w:color="231F20"/>
              <w:bottom w:val="single" w:sz="8" w:color="231F20"/>
            </w:tcBorders>
            <w:shd w:val="clear" w:color="auto" w:fill="EAEBEC"/>
          </w:tcPr>
          <w:p>
            <w:pPr>
              <w:spacing w:after="0"/>
              <w:rPr>
                <w:sz w:val="18"/>
                <w:szCs w:val="18"/>
                <w:color w:val="auto"/>
              </w:rPr>
            </w:pPr>
          </w:p>
        </w:tc>
        <w:tc>
          <w:tcPr>
            <w:tcW w:w="124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1,164,254</w:t>
            </w:r>
          </w:p>
        </w:tc>
        <w:tc>
          <w:tcPr>
            <w:tcW w:w="280" w:type="dxa"/>
            <w:vAlign w:val="bottom"/>
            <w:tcBorders>
              <w:top w:val="single" w:sz="8" w:color="EAEBEC"/>
              <w:bottom w:val="single" w:sz="8" w:color="EAEBEC"/>
            </w:tcBorders>
            <w:shd w:val="clear" w:color="auto" w:fill="EAEBEC"/>
          </w:tcPr>
          <w:p>
            <w:pPr>
              <w:spacing w:after="0"/>
              <w:rPr>
                <w:sz w:val="18"/>
                <w:szCs w:val="18"/>
                <w:color w:val="auto"/>
              </w:rPr>
            </w:pPr>
          </w:p>
        </w:tc>
        <w:tc>
          <w:tcPr>
            <w:tcW w:w="220" w:type="dxa"/>
            <w:vAlign w:val="bottom"/>
            <w:tcBorders>
              <w:top w:val="single" w:sz="8" w:color="231F20"/>
              <w:bottom w:val="single" w:sz="8" w:color="231F20"/>
            </w:tcBorders>
            <w:shd w:val="clear" w:color="auto" w:fill="EAEBEC"/>
          </w:tcPr>
          <w:p>
            <w:pPr>
              <w:spacing w:after="0"/>
              <w:rPr>
                <w:sz w:val="18"/>
                <w:szCs w:val="18"/>
                <w:color w:val="auto"/>
              </w:rPr>
            </w:pPr>
          </w:p>
        </w:tc>
        <w:tc>
          <w:tcPr>
            <w:tcW w:w="124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6"/>
                <w:szCs w:val="16"/>
                <w:color w:val="231F20"/>
              </w:rPr>
              <w:t>1,113,630</w:t>
            </w:r>
          </w:p>
        </w:tc>
        <w:tc>
          <w:tcPr>
            <w:tcW w:w="80" w:type="dxa"/>
            <w:vAlign w:val="bottom"/>
            <w:tcBorders>
              <w:top w:val="single" w:sz="8" w:color="EAEBEC"/>
              <w:bottom w:val="single" w:sz="8" w:color="EAEBEC"/>
            </w:tcBorders>
            <w:shd w:val="clear" w:color="auto" w:fill="EAEBEC"/>
          </w:tcPr>
          <w:p>
            <w:pPr>
              <w:spacing w:after="0"/>
              <w:rPr>
                <w:sz w:val="18"/>
                <w:szCs w:val="18"/>
                <w:color w:val="auto"/>
              </w:rPr>
            </w:pPr>
          </w:p>
        </w:tc>
        <w:tc>
          <w:tcPr>
            <w:tcW w:w="20" w:type="dxa"/>
            <w:vAlign w:val="bottom"/>
            <w:tcBorders>
              <w:top w:val="single" w:sz="8" w:color="EAEBEC"/>
              <w:bottom w:val="single" w:sz="8" w:color="EAEBEC"/>
            </w:tcBorders>
            <w:shd w:val="clear" w:color="auto" w:fill="EAEBEC"/>
          </w:tcPr>
          <w:p>
            <w:pPr>
              <w:spacing w:after="0"/>
              <w:rPr>
                <w:sz w:val="18"/>
                <w:szCs w:val="18"/>
                <w:color w:val="auto"/>
              </w:rPr>
            </w:pPr>
          </w:p>
        </w:tc>
      </w:tr>
      <w:tr>
        <w:trPr>
          <w:trHeight w:val="173"/>
        </w:trPr>
        <w:tc>
          <w:tcPr>
            <w:tcW w:w="6960" w:type="dxa"/>
            <w:vAlign w:val="bottom"/>
          </w:tcPr>
          <w:p>
            <w:pPr>
              <w:ind w:left="400"/>
              <w:spacing w:after="0" w:line="173" w:lineRule="exact"/>
              <w:rPr>
                <w:sz w:val="20"/>
                <w:szCs w:val="20"/>
                <w:color w:val="auto"/>
              </w:rPr>
            </w:pPr>
            <w:r>
              <w:rPr>
                <w:rFonts w:ascii="Times New Roman" w:cs="Times New Roman" w:eastAsia="Times New Roman" w:hAnsi="Times New Roman"/>
                <w:sz w:val="16"/>
                <w:szCs w:val="16"/>
                <w:color w:val="231F20"/>
              </w:rPr>
              <w:t>Total liabilities and stockholders’ equity</w:t>
            </w:r>
          </w:p>
        </w:tc>
        <w:tc>
          <w:tcPr>
            <w:tcW w:w="220" w:type="dxa"/>
            <w:vAlign w:val="bottom"/>
            <w:tcBorders>
              <w:bottom w:val="single" w:sz="8" w:color="231F20"/>
            </w:tcBorders>
          </w:tcPr>
          <w:p>
            <w:pPr>
              <w:jc w:val="right"/>
              <w:ind w:right="60"/>
              <w:spacing w:after="0" w:line="173" w:lineRule="exact"/>
              <w:rPr>
                <w:sz w:val="20"/>
                <w:szCs w:val="20"/>
                <w:color w:val="auto"/>
              </w:rPr>
            </w:pPr>
            <w:r>
              <w:rPr>
                <w:rFonts w:ascii="Times New Roman" w:cs="Times New Roman" w:eastAsia="Times New Roman" w:hAnsi="Times New Roman"/>
                <w:sz w:val="16"/>
                <w:szCs w:val="16"/>
                <w:color w:val="231F20"/>
                <w:w w:val="74"/>
              </w:rPr>
              <w:t>$</w:t>
            </w:r>
          </w:p>
        </w:tc>
        <w:tc>
          <w:tcPr>
            <w:tcW w:w="1240" w:type="dxa"/>
            <w:vAlign w:val="bottom"/>
            <w:tcBorders>
              <w:bottom w:val="single" w:sz="8" w:color="231F20"/>
            </w:tcBorders>
          </w:tcPr>
          <w:p>
            <w:pPr>
              <w:jc w:val="right"/>
              <w:spacing w:after="0" w:line="173" w:lineRule="exact"/>
              <w:rPr>
                <w:sz w:val="20"/>
                <w:szCs w:val="20"/>
                <w:color w:val="auto"/>
              </w:rPr>
            </w:pPr>
            <w:r>
              <w:rPr>
                <w:rFonts w:ascii="Times New Roman" w:cs="Times New Roman" w:eastAsia="Times New Roman" w:hAnsi="Times New Roman"/>
                <w:sz w:val="16"/>
                <w:szCs w:val="16"/>
                <w:color w:val="231F20"/>
              </w:rPr>
              <w:t>5,173,425</w:t>
            </w:r>
          </w:p>
        </w:tc>
        <w:tc>
          <w:tcPr>
            <w:tcW w:w="280" w:type="dxa"/>
            <w:vAlign w:val="bottom"/>
          </w:tcPr>
          <w:p>
            <w:pPr>
              <w:spacing w:after="0"/>
              <w:rPr>
                <w:sz w:val="15"/>
                <w:szCs w:val="15"/>
                <w:color w:val="auto"/>
              </w:rPr>
            </w:pPr>
          </w:p>
        </w:tc>
        <w:tc>
          <w:tcPr>
            <w:tcW w:w="220" w:type="dxa"/>
            <w:vAlign w:val="bottom"/>
            <w:tcBorders>
              <w:bottom w:val="single" w:sz="8" w:color="231F20"/>
            </w:tcBorders>
          </w:tcPr>
          <w:p>
            <w:pPr>
              <w:jc w:val="right"/>
              <w:ind w:right="60"/>
              <w:spacing w:after="0" w:line="173" w:lineRule="exact"/>
              <w:rPr>
                <w:sz w:val="20"/>
                <w:szCs w:val="20"/>
                <w:color w:val="auto"/>
              </w:rPr>
            </w:pPr>
            <w:r>
              <w:rPr>
                <w:rFonts w:ascii="Times New Roman" w:cs="Times New Roman" w:eastAsia="Times New Roman" w:hAnsi="Times New Roman"/>
                <w:sz w:val="16"/>
                <w:szCs w:val="16"/>
                <w:color w:val="231F20"/>
                <w:w w:val="74"/>
              </w:rPr>
              <w:t>$</w:t>
            </w:r>
          </w:p>
        </w:tc>
        <w:tc>
          <w:tcPr>
            <w:tcW w:w="1240" w:type="dxa"/>
            <w:vAlign w:val="bottom"/>
            <w:tcBorders>
              <w:bottom w:val="single" w:sz="8" w:color="231F20"/>
            </w:tcBorders>
          </w:tcPr>
          <w:p>
            <w:pPr>
              <w:jc w:val="right"/>
              <w:spacing w:after="0" w:line="173" w:lineRule="exact"/>
              <w:rPr>
                <w:sz w:val="20"/>
                <w:szCs w:val="20"/>
                <w:color w:val="auto"/>
              </w:rPr>
            </w:pPr>
            <w:r>
              <w:rPr>
                <w:rFonts w:ascii="Times New Roman" w:cs="Times New Roman" w:eastAsia="Times New Roman" w:hAnsi="Times New Roman"/>
                <w:sz w:val="16"/>
                <w:szCs w:val="16"/>
                <w:color w:val="231F20"/>
              </w:rPr>
              <w:t>5,194,430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69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1880" w:h="15480" w:orient="portrait"/>
          <w:cols w:equalWidth="0" w:num="1">
            <w:col w:w="10240"/>
          </w:cols>
          <w:pgMar w:left="820" w:top="87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10240"/>
          </w:cols>
          <w:pgMar w:left="820" w:top="876" w:right="820" w:bottom="0" w:gutter="0" w:footer="0" w:header="0"/>
          <w:type w:val="continuous"/>
        </w:sectPr>
      </w:pPr>
    </w:p>
    <w:bookmarkStart w:id="76" w:name="page77"/>
    <w:bookmarkEnd w:id="76"/>
    <w:p>
      <w:pPr>
        <w:ind w:left="2700"/>
        <w:spacing w:after="0"/>
        <w:rPr>
          <w:sz w:val="20"/>
          <w:szCs w:val="20"/>
          <w:color w:val="auto"/>
        </w:rPr>
      </w:pPr>
      <w:r>
        <w:rPr>
          <w:rFonts w:ascii="Times New Roman" w:cs="Times New Roman" w:eastAsia="Times New Roman" w:hAnsi="Times New Roman"/>
          <w:sz w:val="20"/>
          <w:szCs w:val="20"/>
          <w:b w:val="1"/>
          <w:bCs w:val="1"/>
          <w:color w:val="231F20"/>
        </w:rPr>
        <w:t>PETCO HEALTH AND WELLNESS COMPANY, INC.</w:t>
      </w:r>
    </w:p>
    <w:p>
      <w:pPr>
        <w:spacing w:after="0" w:line="12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b w:val="1"/>
          <w:bCs w:val="1"/>
          <w:color w:val="231F20"/>
        </w:rPr>
        <w:t>CONSOLIDATED STATEMENTS OF OPERATIONS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231F20"/>
              </w:rPr>
              <w:t>Fiscal years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8"/>
              </w:rPr>
              <w:t>January 31,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8"/>
              </w:rPr>
              <w:t>February 3,</w:t>
            </w:r>
          </w:p>
        </w:tc>
      </w:tr>
      <w:tr>
        <w:trPr>
          <w:trHeight w:val="203"/>
        </w:trPr>
        <w:tc>
          <w:tcPr>
            <w:tcW w:w="594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center"/>
              <w:ind w:right="63"/>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center"/>
              <w:ind w:right="63"/>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center"/>
              <w:ind w:right="63"/>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00" w:type="dxa"/>
            <w:vAlign w:val="bottom"/>
          </w:tcPr>
          <w:p>
            <w:pPr>
              <w:spacing w:after="0"/>
              <w:rPr>
                <w:sz w:val="17"/>
                <w:szCs w:val="17"/>
                <w:color w:val="auto"/>
              </w:rPr>
            </w:pPr>
          </w:p>
        </w:tc>
      </w:tr>
      <w:tr>
        <w:trPr>
          <w:trHeight w:val="193"/>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231F20"/>
              </w:rPr>
              <w:t>(53 weeks)</w:t>
            </w:r>
          </w:p>
        </w:tc>
        <w:tc>
          <w:tcPr>
            <w:tcW w:w="100" w:type="dxa"/>
            <w:vAlign w:val="bottom"/>
          </w:tcPr>
          <w:p>
            <w:pPr>
              <w:spacing w:after="0"/>
              <w:rPr>
                <w:sz w:val="16"/>
                <w:szCs w:val="16"/>
                <w:color w:val="auto"/>
              </w:rPr>
            </w:pPr>
          </w:p>
        </w:tc>
      </w:tr>
      <w:tr>
        <w:trPr>
          <w:trHeight w:val="244"/>
        </w:trPr>
        <w:tc>
          <w:tcPr>
            <w:tcW w:w="59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Net sales:</w:t>
            </w: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r>
      <w:tr>
        <w:trPr>
          <w:trHeight w:val="244"/>
        </w:trPr>
        <w:tc>
          <w:tcPr>
            <w:tcW w:w="59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Products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4,936,323</w:t>
            </w:r>
          </w:p>
        </w:tc>
        <w:tc>
          <w:tcPr>
            <w:tcW w:w="100" w:type="dxa"/>
            <w:vAlign w:val="bottom"/>
          </w:tcPr>
          <w:p>
            <w:pPr>
              <w:spacing w:after="0"/>
              <w:rPr>
                <w:sz w:val="21"/>
                <w:szCs w:val="21"/>
                <w:color w:val="auto"/>
              </w:rPr>
            </w:pP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5,116,891</w:t>
            </w:r>
          </w:p>
        </w:tc>
        <w:tc>
          <w:tcPr>
            <w:tcW w:w="10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5,273,710</w:t>
            </w:r>
          </w:p>
        </w:tc>
        <w:tc>
          <w:tcPr>
            <w:tcW w:w="100" w:type="dxa"/>
            <w:vAlign w:val="bottom"/>
          </w:tcPr>
          <w:p>
            <w:pPr>
              <w:spacing w:after="0"/>
              <w:rPr>
                <w:sz w:val="21"/>
                <w:szCs w:val="21"/>
                <w:color w:val="auto"/>
              </w:rPr>
            </w:pPr>
          </w:p>
        </w:tc>
      </w:tr>
      <w:tr>
        <w:trPr>
          <w:trHeight w:val="244"/>
        </w:trPr>
        <w:tc>
          <w:tcPr>
            <w:tcW w:w="5940" w:type="dxa"/>
            <w:vAlign w:val="bottom"/>
            <w:shd w:val="clear" w:color="auto" w:fill="EAEBEC"/>
          </w:tcPr>
          <w:p>
            <w:pPr>
              <w:ind w:left="100"/>
              <w:spacing w:after="0"/>
              <w:rPr>
                <w:sz w:val="20"/>
                <w:szCs w:val="20"/>
                <w:color w:val="auto"/>
              </w:rPr>
            </w:pPr>
            <w:r>
              <w:rPr>
                <w:rFonts w:ascii="Times New Roman" w:cs="Times New Roman" w:eastAsia="Times New Roman" w:hAnsi="Times New Roman"/>
                <w:sz w:val="20"/>
                <w:szCs w:val="20"/>
                <w:color w:val="231F20"/>
              </w:rPr>
              <w:t>Services and other</w:t>
            </w:r>
          </w:p>
        </w:tc>
        <w:tc>
          <w:tcPr>
            <w:tcW w:w="160" w:type="dxa"/>
            <w:vAlign w:val="bottom"/>
            <w:tcBorders>
              <w:bottom w:val="single" w:sz="8" w:color="231F20"/>
            </w:tcBorders>
            <w:shd w:val="clear" w:color="auto" w:fill="EAEBEC"/>
          </w:tcPr>
          <w:p>
            <w:pPr>
              <w:spacing w:after="0"/>
              <w:rPr>
                <w:sz w:val="21"/>
                <w:szCs w:val="21"/>
                <w:color w:val="auto"/>
              </w:rPr>
            </w:pPr>
          </w:p>
        </w:tc>
        <w:tc>
          <w:tcPr>
            <w:tcW w:w="10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1,025,144</w:t>
            </w:r>
          </w:p>
        </w:tc>
        <w:tc>
          <w:tcPr>
            <w:tcW w:w="100" w:type="dxa"/>
            <w:vAlign w:val="bottom"/>
            <w:shd w:val="clear" w:color="auto" w:fill="EAEBEC"/>
          </w:tcPr>
          <w:p>
            <w:pPr>
              <w:spacing w:after="0"/>
              <w:rPr>
                <w:sz w:val="21"/>
                <w:szCs w:val="21"/>
                <w:color w:val="auto"/>
              </w:rPr>
            </w:pPr>
          </w:p>
        </w:tc>
        <w:tc>
          <w:tcPr>
            <w:tcW w:w="140" w:type="dxa"/>
            <w:vAlign w:val="bottom"/>
            <w:tcBorders>
              <w:bottom w:val="single" w:sz="8" w:color="231F20"/>
            </w:tcBorders>
            <w:shd w:val="clear" w:color="auto" w:fill="EAEBEC"/>
          </w:tcPr>
          <w:p>
            <w:pPr>
              <w:spacing w:after="0"/>
              <w:rPr>
                <w:sz w:val="21"/>
                <w:szCs w:val="21"/>
                <w:color w:val="auto"/>
              </w:rPr>
            </w:pPr>
          </w:p>
        </w:tc>
        <w:tc>
          <w:tcPr>
            <w:tcW w:w="160" w:type="dxa"/>
            <w:vAlign w:val="bottom"/>
            <w:tcBorders>
              <w:bottom w:val="single" w:sz="8" w:color="231F20"/>
            </w:tcBorders>
            <w:shd w:val="clear" w:color="auto" w:fill="EAEBEC"/>
          </w:tcPr>
          <w:p>
            <w:pPr>
              <w:spacing w:after="0"/>
              <w:rPr>
                <w:sz w:val="21"/>
                <w:szCs w:val="21"/>
                <w:color w:val="auto"/>
              </w:rPr>
            </w:pPr>
          </w:p>
        </w:tc>
        <w:tc>
          <w:tcPr>
            <w:tcW w:w="10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999,571</w:t>
            </w: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60" w:type="dxa"/>
            <w:vAlign w:val="bottom"/>
            <w:tcBorders>
              <w:bottom w:val="single" w:sz="8" w:color="231F20"/>
            </w:tcBorders>
            <w:shd w:val="clear" w:color="auto" w:fill="EAEBEC"/>
          </w:tcPr>
          <w:p>
            <w:pPr>
              <w:spacing w:after="0"/>
              <w:rPr>
                <w:sz w:val="21"/>
                <w:szCs w:val="21"/>
                <w:color w:val="auto"/>
              </w:rPr>
            </w:pPr>
          </w:p>
        </w:tc>
        <w:tc>
          <w:tcPr>
            <w:tcW w:w="10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981,574</w:t>
            </w:r>
          </w:p>
        </w:tc>
        <w:tc>
          <w:tcPr>
            <w:tcW w:w="100" w:type="dxa"/>
            <w:vAlign w:val="bottom"/>
            <w:shd w:val="clear" w:color="auto" w:fill="EAEBEC"/>
          </w:tcPr>
          <w:p>
            <w:pPr>
              <w:spacing w:after="0"/>
              <w:rPr>
                <w:sz w:val="21"/>
                <w:szCs w:val="21"/>
                <w:color w:val="auto"/>
              </w:rPr>
            </w:pPr>
          </w:p>
        </w:tc>
      </w:tr>
      <w:tr>
        <w:trPr>
          <w:trHeight w:val="239"/>
        </w:trPr>
        <w:tc>
          <w:tcPr>
            <w:tcW w:w="59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 net sales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5,961,467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6,116,462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6,255,284</w:t>
            </w:r>
          </w:p>
        </w:tc>
        <w:tc>
          <w:tcPr>
            <w:tcW w:w="100" w:type="dxa"/>
            <w:vAlign w:val="bottom"/>
          </w:tcPr>
          <w:p>
            <w:pPr>
              <w:spacing w:after="0"/>
              <w:rPr>
                <w:sz w:val="20"/>
                <w:szCs w:val="20"/>
                <w:color w:val="auto"/>
              </w:rPr>
            </w:pPr>
          </w:p>
        </w:tc>
      </w:tr>
      <w:tr>
        <w:trPr>
          <w:trHeight w:val="244"/>
        </w:trPr>
        <w:tc>
          <w:tcPr>
            <w:tcW w:w="59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Cost of sales:</w:t>
            </w: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r>
      <w:tr>
        <w:trPr>
          <w:trHeight w:val="244"/>
        </w:trPr>
        <w:tc>
          <w:tcPr>
            <w:tcW w:w="594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Products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3,028,909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3,173,269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3,269,628</w:t>
            </w:r>
          </w:p>
        </w:tc>
        <w:tc>
          <w:tcPr>
            <w:tcW w:w="100" w:type="dxa"/>
            <w:vAlign w:val="bottom"/>
          </w:tcPr>
          <w:p>
            <w:pPr>
              <w:spacing w:after="0"/>
              <w:rPr>
                <w:sz w:val="21"/>
                <w:szCs w:val="21"/>
                <w:color w:val="auto"/>
              </w:rPr>
            </w:pPr>
          </w:p>
        </w:tc>
      </w:tr>
      <w:tr>
        <w:trPr>
          <w:trHeight w:val="244"/>
        </w:trPr>
        <w:tc>
          <w:tcPr>
            <w:tcW w:w="5940" w:type="dxa"/>
            <w:vAlign w:val="bottom"/>
            <w:shd w:val="clear" w:color="auto" w:fill="EAEBEC"/>
          </w:tcPr>
          <w:p>
            <w:pPr>
              <w:ind w:left="100"/>
              <w:spacing w:after="0"/>
              <w:rPr>
                <w:sz w:val="20"/>
                <w:szCs w:val="20"/>
                <w:color w:val="auto"/>
              </w:rPr>
            </w:pPr>
            <w:r>
              <w:rPr>
                <w:rFonts w:ascii="Times New Roman" w:cs="Times New Roman" w:eastAsia="Times New Roman" w:hAnsi="Times New Roman"/>
                <w:sz w:val="20"/>
                <w:szCs w:val="20"/>
                <w:color w:val="231F20"/>
              </w:rPr>
              <w:t>Services and other</w:t>
            </w:r>
          </w:p>
        </w:tc>
        <w:tc>
          <w:tcPr>
            <w:tcW w:w="160" w:type="dxa"/>
            <w:vAlign w:val="bottom"/>
            <w:tcBorders>
              <w:bottom w:val="single" w:sz="8" w:color="231F20"/>
            </w:tcBorders>
            <w:shd w:val="clear" w:color="auto" w:fill="EAEBEC"/>
          </w:tcPr>
          <w:p>
            <w:pPr>
              <w:spacing w:after="0"/>
              <w:rPr>
                <w:sz w:val="21"/>
                <w:szCs w:val="21"/>
                <w:color w:val="auto"/>
              </w:rPr>
            </w:pPr>
          </w:p>
        </w:tc>
        <w:tc>
          <w:tcPr>
            <w:tcW w:w="10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627,486</w:t>
            </w:r>
          </w:p>
        </w:tc>
        <w:tc>
          <w:tcPr>
            <w:tcW w:w="100" w:type="dxa"/>
            <w:vAlign w:val="bottom"/>
            <w:shd w:val="clear" w:color="auto" w:fill="EAEBEC"/>
          </w:tcPr>
          <w:p>
            <w:pPr>
              <w:spacing w:after="0"/>
              <w:rPr>
                <w:sz w:val="21"/>
                <w:szCs w:val="21"/>
                <w:color w:val="auto"/>
              </w:rPr>
            </w:pPr>
          </w:p>
        </w:tc>
        <w:tc>
          <w:tcPr>
            <w:tcW w:w="140" w:type="dxa"/>
            <w:vAlign w:val="bottom"/>
            <w:tcBorders>
              <w:bottom w:val="single" w:sz="8" w:color="231F20"/>
            </w:tcBorders>
            <w:shd w:val="clear" w:color="auto" w:fill="EAEBEC"/>
          </w:tcPr>
          <w:p>
            <w:pPr>
              <w:spacing w:after="0"/>
              <w:rPr>
                <w:sz w:val="21"/>
                <w:szCs w:val="21"/>
                <w:color w:val="auto"/>
              </w:rPr>
            </w:pPr>
          </w:p>
        </w:tc>
        <w:tc>
          <w:tcPr>
            <w:tcW w:w="160" w:type="dxa"/>
            <w:vAlign w:val="bottom"/>
            <w:tcBorders>
              <w:bottom w:val="single" w:sz="8" w:color="231F20"/>
            </w:tcBorders>
            <w:shd w:val="clear" w:color="auto" w:fill="EAEBEC"/>
          </w:tcPr>
          <w:p>
            <w:pPr>
              <w:spacing w:after="0"/>
              <w:rPr>
                <w:sz w:val="21"/>
                <w:szCs w:val="21"/>
                <w:color w:val="auto"/>
              </w:rPr>
            </w:pPr>
          </w:p>
        </w:tc>
        <w:tc>
          <w:tcPr>
            <w:tcW w:w="10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618,791</w:t>
            </w:r>
          </w:p>
        </w:tc>
        <w:tc>
          <w:tcPr>
            <w:tcW w:w="100" w:type="dxa"/>
            <w:vAlign w:val="bottom"/>
            <w:shd w:val="clear" w:color="auto" w:fill="EAEBEC"/>
          </w:tcPr>
          <w:p>
            <w:pPr>
              <w:spacing w:after="0"/>
              <w:rPr>
                <w:sz w:val="21"/>
                <w:szCs w:val="21"/>
                <w:color w:val="auto"/>
              </w:rPr>
            </w:pPr>
          </w:p>
        </w:tc>
        <w:tc>
          <w:tcPr>
            <w:tcW w:w="140" w:type="dxa"/>
            <w:vAlign w:val="bottom"/>
            <w:tcBorders>
              <w:bottom w:val="single" w:sz="8" w:color="231F20"/>
            </w:tcBorders>
            <w:shd w:val="clear" w:color="auto" w:fill="EAEBEC"/>
          </w:tcPr>
          <w:p>
            <w:pPr>
              <w:spacing w:after="0"/>
              <w:rPr>
                <w:sz w:val="21"/>
                <w:szCs w:val="21"/>
                <w:color w:val="auto"/>
              </w:rPr>
            </w:pPr>
          </w:p>
        </w:tc>
        <w:tc>
          <w:tcPr>
            <w:tcW w:w="160" w:type="dxa"/>
            <w:vAlign w:val="bottom"/>
            <w:tcBorders>
              <w:bottom w:val="single" w:sz="8" w:color="231F20"/>
            </w:tcBorders>
            <w:shd w:val="clear" w:color="auto" w:fill="EAEBEC"/>
          </w:tcPr>
          <w:p>
            <w:pPr>
              <w:spacing w:after="0"/>
              <w:rPr>
                <w:sz w:val="21"/>
                <w:szCs w:val="21"/>
                <w:color w:val="auto"/>
              </w:rPr>
            </w:pPr>
          </w:p>
        </w:tc>
        <w:tc>
          <w:tcPr>
            <w:tcW w:w="10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631,821</w:t>
            </w:r>
          </w:p>
        </w:tc>
        <w:tc>
          <w:tcPr>
            <w:tcW w:w="100" w:type="dxa"/>
            <w:vAlign w:val="bottom"/>
            <w:shd w:val="clear" w:color="auto" w:fill="EAEBEC"/>
          </w:tcPr>
          <w:p>
            <w:pPr>
              <w:spacing w:after="0"/>
              <w:rPr>
                <w:sz w:val="21"/>
                <w:szCs w:val="21"/>
                <w:color w:val="auto"/>
              </w:rPr>
            </w:pPr>
          </w:p>
        </w:tc>
      </w:tr>
      <w:tr>
        <w:trPr>
          <w:trHeight w:val="239"/>
        </w:trPr>
        <w:tc>
          <w:tcPr>
            <w:tcW w:w="5940" w:type="dxa"/>
            <w:vAlign w:val="bottom"/>
            <w:tcBorders>
              <w:bottom w:val="single" w:sz="8" w:color="EAEBEC"/>
            </w:tcBorders>
          </w:tcPr>
          <w:p>
            <w:pPr>
              <w:ind w:left="200"/>
              <w:spacing w:after="0"/>
              <w:rPr>
                <w:sz w:val="20"/>
                <w:szCs w:val="20"/>
                <w:color w:val="auto"/>
              </w:rPr>
            </w:pPr>
            <w:r>
              <w:rPr>
                <w:rFonts w:ascii="Times New Roman" w:cs="Times New Roman" w:eastAsia="Times New Roman" w:hAnsi="Times New Roman"/>
                <w:sz w:val="20"/>
                <w:szCs w:val="20"/>
                <w:color w:val="231F20"/>
              </w:rPr>
              <w:t>Total cost of sales</w:t>
            </w:r>
          </w:p>
        </w:tc>
        <w:tc>
          <w:tcPr>
            <w:tcW w:w="16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3,656,395</w:t>
            </w:r>
          </w:p>
        </w:tc>
        <w:tc>
          <w:tcPr>
            <w:tcW w:w="100" w:type="dxa"/>
            <w:vAlign w:val="bottom"/>
            <w:tcBorders>
              <w:bottom w:val="single" w:sz="8" w:color="EAEBEC"/>
            </w:tcBorders>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3,792,060</w:t>
            </w:r>
          </w:p>
        </w:tc>
        <w:tc>
          <w:tcPr>
            <w:tcW w:w="100" w:type="dxa"/>
            <w:vAlign w:val="bottom"/>
            <w:tcBorders>
              <w:bottom w:val="single" w:sz="8" w:color="EAEBEC"/>
            </w:tcBorders>
          </w:tcPr>
          <w:p>
            <w:pPr>
              <w:spacing w:after="0"/>
              <w:rPr>
                <w:sz w:val="20"/>
                <w:szCs w:val="20"/>
                <w:color w:val="auto"/>
              </w:rPr>
            </w:pPr>
          </w:p>
        </w:tc>
        <w:tc>
          <w:tcPr>
            <w:tcW w:w="14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3,901,449</w:t>
            </w:r>
          </w:p>
        </w:tc>
        <w:tc>
          <w:tcPr>
            <w:tcW w:w="100" w:type="dxa"/>
            <w:vAlign w:val="bottom"/>
            <w:tcBorders>
              <w:bottom w:val="single" w:sz="8" w:color="EAEBEC"/>
            </w:tcBorders>
          </w:tcPr>
          <w:p>
            <w:pPr>
              <w:spacing w:after="0"/>
              <w:rPr>
                <w:sz w:val="20"/>
                <w:szCs w:val="20"/>
                <w:color w:val="auto"/>
              </w:rPr>
            </w:pPr>
          </w:p>
        </w:tc>
      </w:tr>
      <w:tr>
        <w:trPr>
          <w:trHeight w:val="239"/>
        </w:trPr>
        <w:tc>
          <w:tcPr>
            <w:tcW w:w="5940" w:type="dxa"/>
            <w:vAlign w:val="bottom"/>
            <w:shd w:val="clear" w:color="auto" w:fill="EAEBEC"/>
          </w:tcPr>
          <w:p>
            <w:pPr>
              <w:ind w:left="400"/>
              <w:spacing w:after="0"/>
              <w:rPr>
                <w:sz w:val="20"/>
                <w:szCs w:val="20"/>
                <w:color w:val="auto"/>
              </w:rPr>
            </w:pPr>
            <w:r>
              <w:rPr>
                <w:rFonts w:ascii="Times New Roman" w:cs="Times New Roman" w:eastAsia="Times New Roman" w:hAnsi="Times New Roman"/>
                <w:sz w:val="20"/>
                <w:szCs w:val="20"/>
                <w:color w:val="231F20"/>
              </w:rPr>
              <w:t>Gross profit</w:t>
            </w:r>
          </w:p>
        </w:tc>
        <w:tc>
          <w:tcPr>
            <w:tcW w:w="160" w:type="dxa"/>
            <w:vAlign w:val="bottom"/>
            <w:shd w:val="clear" w:color="auto" w:fill="EAEBEC"/>
          </w:tcPr>
          <w:p>
            <w:pPr>
              <w:spacing w:after="0"/>
              <w:rPr>
                <w:sz w:val="20"/>
                <w:szCs w:val="20"/>
                <w:color w:val="auto"/>
              </w:rPr>
            </w:pP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2,305,072</w:t>
            </w:r>
          </w:p>
        </w:tc>
        <w:tc>
          <w:tcPr>
            <w:tcW w:w="10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160" w:type="dxa"/>
            <w:vAlign w:val="bottom"/>
            <w:shd w:val="clear" w:color="auto" w:fill="EAEBEC"/>
          </w:tcPr>
          <w:p>
            <w:pPr>
              <w:spacing w:after="0"/>
              <w:rPr>
                <w:sz w:val="20"/>
                <w:szCs w:val="20"/>
                <w:color w:val="auto"/>
              </w:rPr>
            </w:pP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2,324,402</w:t>
            </w:r>
          </w:p>
        </w:tc>
        <w:tc>
          <w:tcPr>
            <w:tcW w:w="10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160" w:type="dxa"/>
            <w:vAlign w:val="bottom"/>
            <w:shd w:val="clear" w:color="auto" w:fill="EAEBEC"/>
          </w:tcPr>
          <w:p>
            <w:pPr>
              <w:spacing w:after="0"/>
              <w:rPr>
                <w:sz w:val="20"/>
                <w:szCs w:val="20"/>
                <w:color w:val="auto"/>
              </w:rPr>
            </w:pP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2,353,835</w:t>
            </w:r>
          </w:p>
        </w:tc>
        <w:tc>
          <w:tcPr>
            <w:tcW w:w="100" w:type="dxa"/>
            <w:vAlign w:val="bottom"/>
            <w:shd w:val="clear" w:color="auto" w:fill="EAEBEC"/>
          </w:tcPr>
          <w:p>
            <w:pPr>
              <w:spacing w:after="0"/>
              <w:rPr>
                <w:sz w:val="20"/>
                <w:szCs w:val="20"/>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Selling, general and administrative expenses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2,184,639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2,317,351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2,311,625</w:t>
            </w:r>
          </w:p>
        </w:tc>
        <w:tc>
          <w:tcPr>
            <w:tcW w:w="100" w:type="dxa"/>
            <w:vAlign w:val="bottom"/>
          </w:tcPr>
          <w:p>
            <w:pPr>
              <w:spacing w:after="0"/>
              <w:rPr>
                <w:sz w:val="21"/>
                <w:szCs w:val="21"/>
                <w:color w:val="auto"/>
              </w:rPr>
            </w:pPr>
          </w:p>
        </w:tc>
      </w:tr>
      <w:tr>
        <w:trPr>
          <w:trHeight w:val="264"/>
        </w:trPr>
        <w:tc>
          <w:tcPr>
            <w:tcW w:w="59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Goodwill impairment</w:t>
            </w:r>
          </w:p>
        </w:tc>
        <w:tc>
          <w:tcPr>
            <w:tcW w:w="160" w:type="dxa"/>
            <w:vAlign w:val="bottom"/>
            <w:shd w:val="clear" w:color="auto" w:fill="EAEBEC"/>
          </w:tcPr>
          <w:p>
            <w:pPr>
              <w:spacing w:after="0"/>
              <w:rPr>
                <w:sz w:val="22"/>
                <w:szCs w:val="22"/>
                <w:color w:val="auto"/>
              </w:rPr>
            </w:pPr>
          </w:p>
        </w:tc>
        <w:tc>
          <w:tcPr>
            <w:tcW w:w="118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EAEBEC"/>
          </w:tcPr>
          <w:p>
            <w:pPr>
              <w:spacing w:after="0"/>
              <w:rPr>
                <w:sz w:val="22"/>
                <w:szCs w:val="22"/>
                <w:color w:val="auto"/>
              </w:rPr>
            </w:pPr>
          </w:p>
        </w:tc>
        <w:tc>
          <w:tcPr>
            <w:tcW w:w="160" w:type="dxa"/>
            <w:vAlign w:val="bottom"/>
            <w:shd w:val="clear" w:color="auto" w:fill="EAEBEC"/>
          </w:tcPr>
          <w:p>
            <w:pPr>
              <w:spacing w:after="0"/>
              <w:rPr>
                <w:sz w:val="22"/>
                <w:szCs w:val="22"/>
                <w:color w:val="auto"/>
              </w:rPr>
            </w:pPr>
          </w:p>
        </w:tc>
        <w:tc>
          <w:tcPr>
            <w:tcW w:w="118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EAEBEC"/>
          </w:tcPr>
          <w:p>
            <w:pPr>
              <w:spacing w:after="0"/>
              <w:rPr>
                <w:sz w:val="22"/>
                <w:szCs w:val="22"/>
                <w:color w:val="auto"/>
              </w:rPr>
            </w:pPr>
          </w:p>
        </w:tc>
        <w:tc>
          <w:tcPr>
            <w:tcW w:w="160" w:type="dxa"/>
            <w:vAlign w:val="bottom"/>
            <w:shd w:val="clear" w:color="auto" w:fill="EAEBEC"/>
          </w:tcPr>
          <w:p>
            <w:pPr>
              <w:spacing w:after="0"/>
              <w:rPr>
                <w:sz w:val="22"/>
                <w:szCs w:val="22"/>
                <w:color w:val="auto"/>
              </w:rPr>
            </w:pP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1,222,524</w:t>
            </w:r>
          </w:p>
        </w:tc>
        <w:tc>
          <w:tcPr>
            <w:tcW w:w="100" w:type="dxa"/>
            <w:vAlign w:val="bottom"/>
            <w:shd w:val="clear" w:color="auto" w:fill="EAEBEC"/>
          </w:tcPr>
          <w:p>
            <w:pPr>
              <w:spacing w:after="0"/>
              <w:rPr>
                <w:sz w:val="22"/>
                <w:szCs w:val="22"/>
                <w:color w:val="auto"/>
              </w:rPr>
            </w:pPr>
          </w:p>
        </w:tc>
      </w:tr>
      <w:tr>
        <w:trPr>
          <w:trHeight w:val="219"/>
        </w:trPr>
        <w:tc>
          <w:tcPr>
            <w:tcW w:w="5940" w:type="dxa"/>
            <w:vAlign w:val="bottom"/>
            <w:tcBorders>
              <w:top w:val="single" w:sz="8" w:color="EAEBEC"/>
            </w:tcBorders>
          </w:tcPr>
          <w:p>
            <w:pPr>
              <w:ind w:left="400"/>
              <w:spacing w:after="0" w:line="219" w:lineRule="exact"/>
              <w:rPr>
                <w:sz w:val="20"/>
                <w:szCs w:val="20"/>
                <w:color w:val="auto"/>
              </w:rPr>
            </w:pPr>
            <w:r>
              <w:rPr>
                <w:rFonts w:ascii="Times New Roman" w:cs="Times New Roman" w:eastAsia="Times New Roman" w:hAnsi="Times New Roman"/>
                <w:sz w:val="20"/>
                <w:szCs w:val="20"/>
                <w:color w:val="231F20"/>
              </w:rPr>
              <w:t>Operating income (loss)</w:t>
            </w:r>
          </w:p>
        </w:tc>
        <w:tc>
          <w:tcPr>
            <w:tcW w:w="160" w:type="dxa"/>
            <w:vAlign w:val="bottom"/>
            <w:tcBorders>
              <w:top w:val="single" w:sz="8" w:color="231F20"/>
            </w:tcBorders>
          </w:tcPr>
          <w:p>
            <w:pPr>
              <w:spacing w:after="0"/>
              <w:rPr>
                <w:sz w:val="19"/>
                <w:szCs w:val="19"/>
                <w:color w:val="auto"/>
              </w:rPr>
            </w:pPr>
          </w:p>
        </w:tc>
        <w:tc>
          <w:tcPr>
            <w:tcW w:w="108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120,433</w:t>
            </w:r>
          </w:p>
        </w:tc>
        <w:tc>
          <w:tcPr>
            <w:tcW w:w="100" w:type="dxa"/>
            <w:vAlign w:val="bottom"/>
            <w:tcBorders>
              <w:top w:val="single" w:sz="8" w:color="EAEBEC"/>
            </w:tcBorders>
          </w:tcPr>
          <w:p>
            <w:pPr>
              <w:spacing w:after="0"/>
              <w:rPr>
                <w:sz w:val="19"/>
                <w:szCs w:val="19"/>
                <w:color w:val="auto"/>
              </w:rPr>
            </w:pPr>
          </w:p>
        </w:tc>
        <w:tc>
          <w:tcPr>
            <w:tcW w:w="140" w:type="dxa"/>
            <w:vAlign w:val="bottom"/>
            <w:tcBorders>
              <w:top w:val="single" w:sz="8" w:color="EAEBEC"/>
            </w:tcBorders>
          </w:tcPr>
          <w:p>
            <w:pPr>
              <w:spacing w:after="0"/>
              <w:rPr>
                <w:sz w:val="19"/>
                <w:szCs w:val="19"/>
                <w:color w:val="auto"/>
              </w:rPr>
            </w:pPr>
          </w:p>
        </w:tc>
        <w:tc>
          <w:tcPr>
            <w:tcW w:w="160" w:type="dxa"/>
            <w:vAlign w:val="bottom"/>
            <w:tcBorders>
              <w:top w:val="single" w:sz="8" w:color="231F20"/>
            </w:tcBorders>
          </w:tcPr>
          <w:p>
            <w:pPr>
              <w:spacing w:after="0"/>
              <w:rPr>
                <w:sz w:val="19"/>
                <w:szCs w:val="19"/>
                <w:color w:val="auto"/>
              </w:rPr>
            </w:pPr>
          </w:p>
        </w:tc>
        <w:tc>
          <w:tcPr>
            <w:tcW w:w="108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7,051</w:t>
            </w:r>
          </w:p>
        </w:tc>
        <w:tc>
          <w:tcPr>
            <w:tcW w:w="100" w:type="dxa"/>
            <w:vAlign w:val="bottom"/>
            <w:tcBorders>
              <w:top w:val="single" w:sz="8" w:color="EAEBEC"/>
            </w:tcBorders>
          </w:tcPr>
          <w:p>
            <w:pPr>
              <w:spacing w:after="0"/>
              <w:rPr>
                <w:sz w:val="19"/>
                <w:szCs w:val="19"/>
                <w:color w:val="auto"/>
              </w:rPr>
            </w:pPr>
          </w:p>
        </w:tc>
        <w:tc>
          <w:tcPr>
            <w:tcW w:w="140" w:type="dxa"/>
            <w:vAlign w:val="bottom"/>
            <w:tcBorders>
              <w:top w:val="single" w:sz="8" w:color="EAEBEC"/>
            </w:tcBorders>
          </w:tcPr>
          <w:p>
            <w:pPr>
              <w:spacing w:after="0"/>
              <w:rPr>
                <w:sz w:val="19"/>
                <w:szCs w:val="19"/>
                <w:color w:val="auto"/>
              </w:rPr>
            </w:pPr>
          </w:p>
        </w:tc>
        <w:tc>
          <w:tcPr>
            <w:tcW w:w="160" w:type="dxa"/>
            <w:vAlign w:val="bottom"/>
            <w:tcBorders>
              <w:top w:val="single" w:sz="8" w:color="231F20"/>
            </w:tcBorders>
          </w:tcPr>
          <w:p>
            <w:pPr>
              <w:spacing w:after="0"/>
              <w:rPr>
                <w:sz w:val="19"/>
                <w:szCs w:val="19"/>
                <w:color w:val="auto"/>
              </w:rPr>
            </w:pPr>
          </w:p>
        </w:tc>
        <w:tc>
          <w:tcPr>
            <w:tcW w:w="1080" w:type="dxa"/>
            <w:vAlign w:val="bottom"/>
            <w:tcBorders>
              <w:top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(1,180,314)</w:t>
            </w:r>
          </w:p>
        </w:tc>
        <w:tc>
          <w:tcPr>
            <w:tcW w:w="100" w:type="dxa"/>
            <w:vAlign w:val="bottom"/>
            <w:tcBorders>
              <w:top w:val="single" w:sz="8" w:color="EAEBEC"/>
            </w:tcBorders>
          </w:tcPr>
          <w:p>
            <w:pPr>
              <w:spacing w:after="0"/>
              <w:rPr>
                <w:sz w:val="19"/>
                <w:szCs w:val="19"/>
                <w:color w:val="auto"/>
              </w:rPr>
            </w:pPr>
          </w:p>
        </w:tc>
      </w:tr>
      <w:tr>
        <w:trPr>
          <w:trHeight w:val="244"/>
        </w:trPr>
        <w:tc>
          <w:tcPr>
            <w:tcW w:w="59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Interest income</w:t>
            </w:r>
          </w:p>
        </w:tc>
        <w:tc>
          <w:tcPr>
            <w:tcW w:w="160" w:type="dxa"/>
            <w:vAlign w:val="bottom"/>
            <w:shd w:val="clear" w:color="auto" w:fill="EAEBEC"/>
          </w:tcPr>
          <w:p>
            <w:pPr>
              <w:spacing w:after="0"/>
              <w:rPr>
                <w:sz w:val="21"/>
                <w:szCs w:val="21"/>
                <w:color w:val="auto"/>
              </w:rPr>
            </w:pPr>
          </w:p>
        </w:tc>
        <w:tc>
          <w:tcPr>
            <w:tcW w:w="11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(6,305)</w:t>
            </w: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1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(3,714)</w:t>
            </w: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1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(3,405)</w:t>
            </w: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Interest expense</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131,199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143,531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150,909</w:t>
            </w:r>
          </w:p>
        </w:tc>
        <w:tc>
          <w:tcPr>
            <w:tcW w:w="100" w:type="dxa"/>
            <w:vAlign w:val="bottom"/>
          </w:tcPr>
          <w:p>
            <w:pPr>
              <w:spacing w:after="0"/>
              <w:rPr>
                <w:sz w:val="21"/>
                <w:szCs w:val="21"/>
                <w:color w:val="auto"/>
              </w:rPr>
            </w:pPr>
          </w:p>
        </w:tc>
      </w:tr>
      <w:tr>
        <w:trPr>
          <w:trHeight w:val="244"/>
        </w:trPr>
        <w:tc>
          <w:tcPr>
            <w:tcW w:w="59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Loss on partial extinguishment of debt</w:t>
            </w: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565</w:t>
            </w: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18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920</w:t>
            </w:r>
          </w:p>
        </w:tc>
        <w:tc>
          <w:tcPr>
            <w:tcW w:w="100" w:type="dxa"/>
            <w:vAlign w:val="bottom"/>
            <w:shd w:val="clear" w:color="auto" w:fill="EAEBEC"/>
          </w:tcPr>
          <w:p>
            <w:pPr>
              <w:spacing w:after="0"/>
              <w:rPr>
                <w:sz w:val="21"/>
                <w:szCs w:val="2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Other non-operating income</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(4,800)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(4,727)</w:t>
            </w:r>
          </w:p>
        </w:tc>
      </w:tr>
      <w:tr>
        <w:trPr>
          <w:trHeight w:val="220"/>
        </w:trPr>
        <w:tc>
          <w:tcPr>
            <w:tcW w:w="5940" w:type="dxa"/>
            <w:vAlign w:val="bottom"/>
            <w:tcBorders>
              <w:top w:val="single" w:sz="8" w:color="EAEBEC"/>
            </w:tcBorders>
            <w:shd w:val="clear" w:color="auto" w:fill="EAEBEC"/>
          </w:tcPr>
          <w:p>
            <w:pPr>
              <w:ind w:left="400"/>
              <w:spacing w:after="0" w:line="220" w:lineRule="exact"/>
              <w:rPr>
                <w:sz w:val="20"/>
                <w:szCs w:val="20"/>
                <w:color w:val="auto"/>
              </w:rPr>
            </w:pPr>
            <w:r>
              <w:rPr>
                <w:rFonts w:ascii="Times New Roman" w:cs="Times New Roman" w:eastAsia="Times New Roman" w:hAnsi="Times New Roman"/>
                <w:sz w:val="20"/>
                <w:szCs w:val="20"/>
                <w:color w:val="231F20"/>
              </w:rPr>
              <w:t>Loss before income taxes and income from</w:t>
            </w:r>
          </w:p>
        </w:tc>
        <w:tc>
          <w:tcPr>
            <w:tcW w:w="160" w:type="dxa"/>
            <w:vAlign w:val="bottom"/>
            <w:tcBorders>
              <w:top w:val="single" w:sz="8" w:color="231F20"/>
            </w:tcBorders>
            <w:shd w:val="clear" w:color="auto" w:fill="EAEBEC"/>
          </w:tcPr>
          <w:p>
            <w:pPr>
              <w:spacing w:after="0"/>
              <w:rPr>
                <w:sz w:val="19"/>
                <w:szCs w:val="19"/>
                <w:color w:val="auto"/>
              </w:rPr>
            </w:pPr>
          </w:p>
        </w:tc>
        <w:tc>
          <w:tcPr>
            <w:tcW w:w="1080" w:type="dxa"/>
            <w:vAlign w:val="bottom"/>
            <w:tcBorders>
              <w:top w:val="single" w:sz="8" w:color="231F20"/>
            </w:tcBorders>
            <w:shd w:val="clear" w:color="auto" w:fill="EAEBEC"/>
          </w:tcPr>
          <w:p>
            <w:pPr>
              <w:spacing w:after="0"/>
              <w:rPr>
                <w:sz w:val="19"/>
                <w:szCs w:val="19"/>
                <w:color w:val="auto"/>
              </w:rPr>
            </w:pPr>
          </w:p>
        </w:tc>
        <w:tc>
          <w:tcPr>
            <w:tcW w:w="100" w:type="dxa"/>
            <w:vAlign w:val="bottom"/>
            <w:tcBorders>
              <w:top w:val="single" w:sz="8" w:color="EAEBEC"/>
            </w:tcBorders>
            <w:shd w:val="clear" w:color="auto" w:fill="EAEBEC"/>
          </w:tcPr>
          <w:p>
            <w:pPr>
              <w:spacing w:after="0"/>
              <w:rPr>
                <w:sz w:val="19"/>
                <w:szCs w:val="19"/>
                <w:color w:val="auto"/>
              </w:rPr>
            </w:pPr>
          </w:p>
        </w:tc>
        <w:tc>
          <w:tcPr>
            <w:tcW w:w="140" w:type="dxa"/>
            <w:vAlign w:val="bottom"/>
            <w:tcBorders>
              <w:top w:val="single" w:sz="8" w:color="EAEBEC"/>
            </w:tcBorders>
            <w:shd w:val="clear" w:color="auto" w:fill="EAEBEC"/>
          </w:tcPr>
          <w:p>
            <w:pPr>
              <w:spacing w:after="0"/>
              <w:rPr>
                <w:sz w:val="19"/>
                <w:szCs w:val="19"/>
                <w:color w:val="auto"/>
              </w:rPr>
            </w:pPr>
          </w:p>
        </w:tc>
        <w:tc>
          <w:tcPr>
            <w:tcW w:w="160" w:type="dxa"/>
            <w:vAlign w:val="bottom"/>
            <w:tcBorders>
              <w:top w:val="single" w:sz="8" w:color="231F20"/>
            </w:tcBorders>
            <w:shd w:val="clear" w:color="auto" w:fill="EAEBEC"/>
          </w:tcPr>
          <w:p>
            <w:pPr>
              <w:spacing w:after="0"/>
              <w:rPr>
                <w:sz w:val="19"/>
                <w:szCs w:val="19"/>
                <w:color w:val="auto"/>
              </w:rPr>
            </w:pPr>
          </w:p>
        </w:tc>
        <w:tc>
          <w:tcPr>
            <w:tcW w:w="1080" w:type="dxa"/>
            <w:vAlign w:val="bottom"/>
            <w:tcBorders>
              <w:top w:val="single" w:sz="8" w:color="231F20"/>
            </w:tcBorders>
            <w:shd w:val="clear" w:color="auto" w:fill="EAEBEC"/>
          </w:tcPr>
          <w:p>
            <w:pPr>
              <w:spacing w:after="0"/>
              <w:rPr>
                <w:sz w:val="19"/>
                <w:szCs w:val="19"/>
                <w:color w:val="auto"/>
              </w:rPr>
            </w:pPr>
          </w:p>
        </w:tc>
        <w:tc>
          <w:tcPr>
            <w:tcW w:w="100" w:type="dxa"/>
            <w:vAlign w:val="bottom"/>
            <w:tcBorders>
              <w:top w:val="single" w:sz="8" w:color="EAEBEC"/>
            </w:tcBorders>
            <w:shd w:val="clear" w:color="auto" w:fill="EAEBEC"/>
          </w:tcPr>
          <w:p>
            <w:pPr>
              <w:spacing w:after="0"/>
              <w:rPr>
                <w:sz w:val="19"/>
                <w:szCs w:val="19"/>
                <w:color w:val="auto"/>
              </w:rPr>
            </w:pPr>
          </w:p>
        </w:tc>
        <w:tc>
          <w:tcPr>
            <w:tcW w:w="140" w:type="dxa"/>
            <w:vAlign w:val="bottom"/>
            <w:tcBorders>
              <w:top w:val="single" w:sz="8" w:color="EAEBEC"/>
            </w:tcBorders>
            <w:shd w:val="clear" w:color="auto" w:fill="EAEBEC"/>
          </w:tcPr>
          <w:p>
            <w:pPr>
              <w:spacing w:after="0"/>
              <w:rPr>
                <w:sz w:val="19"/>
                <w:szCs w:val="19"/>
                <w:color w:val="auto"/>
              </w:rPr>
            </w:pPr>
          </w:p>
        </w:tc>
        <w:tc>
          <w:tcPr>
            <w:tcW w:w="160" w:type="dxa"/>
            <w:vAlign w:val="bottom"/>
            <w:tcBorders>
              <w:top w:val="single" w:sz="8" w:color="231F20"/>
            </w:tcBorders>
            <w:shd w:val="clear" w:color="auto" w:fill="EAEBEC"/>
          </w:tcPr>
          <w:p>
            <w:pPr>
              <w:spacing w:after="0"/>
              <w:rPr>
                <w:sz w:val="19"/>
                <w:szCs w:val="19"/>
                <w:color w:val="auto"/>
              </w:rPr>
            </w:pPr>
          </w:p>
        </w:tc>
        <w:tc>
          <w:tcPr>
            <w:tcW w:w="1080" w:type="dxa"/>
            <w:vAlign w:val="bottom"/>
            <w:tcBorders>
              <w:top w:val="single" w:sz="8" w:color="231F20"/>
            </w:tcBorders>
            <w:shd w:val="clear" w:color="auto" w:fill="EAEBEC"/>
          </w:tcPr>
          <w:p>
            <w:pPr>
              <w:spacing w:after="0"/>
              <w:rPr>
                <w:sz w:val="19"/>
                <w:szCs w:val="19"/>
                <w:color w:val="auto"/>
              </w:rPr>
            </w:pPr>
          </w:p>
        </w:tc>
        <w:tc>
          <w:tcPr>
            <w:tcW w:w="100" w:type="dxa"/>
            <w:vAlign w:val="bottom"/>
            <w:tcBorders>
              <w:top w:val="single" w:sz="8" w:color="EAEBEC"/>
            </w:tcBorders>
            <w:shd w:val="clear" w:color="auto" w:fill="EAEBEC"/>
          </w:tcPr>
          <w:p>
            <w:pPr>
              <w:spacing w:after="0"/>
              <w:rPr>
                <w:sz w:val="19"/>
                <w:szCs w:val="19"/>
                <w:color w:val="auto"/>
              </w:rPr>
            </w:pPr>
          </w:p>
        </w:tc>
      </w:tr>
      <w:tr>
        <w:trPr>
          <w:trHeight w:val="250"/>
        </w:trPr>
        <w:tc>
          <w:tcPr>
            <w:tcW w:w="5940" w:type="dxa"/>
            <w:vAlign w:val="bottom"/>
            <w:shd w:val="clear" w:color="auto" w:fill="EAEBEC"/>
          </w:tcPr>
          <w:p>
            <w:pPr>
              <w:ind w:left="560"/>
              <w:spacing w:after="0"/>
              <w:rPr>
                <w:sz w:val="20"/>
                <w:szCs w:val="20"/>
                <w:color w:val="auto"/>
              </w:rPr>
            </w:pPr>
            <w:r>
              <w:rPr>
                <w:rFonts w:ascii="Times New Roman" w:cs="Times New Roman" w:eastAsia="Times New Roman" w:hAnsi="Times New Roman"/>
                <w:sz w:val="20"/>
                <w:szCs w:val="20"/>
                <w:color w:val="231F20"/>
              </w:rPr>
              <w:t>equity method investees</w:t>
            </w: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(5,026)</w:t>
            </w: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(127,966)</w:t>
            </w: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(1,324,011)</w:t>
            </w:r>
          </w:p>
        </w:tc>
        <w:tc>
          <w:tcPr>
            <w:tcW w:w="100" w:type="dxa"/>
            <w:vAlign w:val="bottom"/>
            <w:shd w:val="clear" w:color="auto" w:fill="EAEBEC"/>
          </w:tcPr>
          <w:p>
            <w:pPr>
              <w:spacing w:after="0"/>
              <w:rPr>
                <w:sz w:val="21"/>
                <w:szCs w:val="2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Income tax expense (benefit)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(27,613)</w:t>
            </w:r>
          </w:p>
        </w:tc>
        <w:tc>
          <w:tcPr>
            <w:tcW w:w="100" w:type="dxa"/>
            <w:vAlign w:val="bottom"/>
          </w:tcPr>
          <w:p>
            <w:pPr>
              <w:spacing w:after="0"/>
              <w:rPr>
                <w:sz w:val="21"/>
                <w:szCs w:val="21"/>
                <w:color w:val="auto"/>
              </w:rPr>
            </w:pPr>
          </w:p>
        </w:tc>
      </w:tr>
      <w:tr>
        <w:trPr>
          <w:trHeight w:val="264"/>
        </w:trPr>
        <w:tc>
          <w:tcPr>
            <w:tcW w:w="59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Income from equity method investees</w:t>
            </w:r>
          </w:p>
        </w:tc>
        <w:tc>
          <w:tcPr>
            <w:tcW w:w="160" w:type="dxa"/>
            <w:vAlign w:val="bottom"/>
            <w:shd w:val="clear" w:color="auto" w:fill="EAEBEC"/>
          </w:tcPr>
          <w:p>
            <w:pPr>
              <w:spacing w:after="0"/>
              <w:rPr>
                <w:sz w:val="22"/>
                <w:szCs w:val="22"/>
                <w:color w:val="auto"/>
              </w:rPr>
            </w:pPr>
          </w:p>
        </w:tc>
        <w:tc>
          <w:tcPr>
            <w:tcW w:w="11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(20,358)</w:t>
            </w:r>
          </w:p>
        </w:tc>
        <w:tc>
          <w:tcPr>
            <w:tcW w:w="140" w:type="dxa"/>
            <w:vAlign w:val="bottom"/>
            <w:shd w:val="clear" w:color="auto" w:fill="EAEBEC"/>
          </w:tcPr>
          <w:p>
            <w:pPr>
              <w:spacing w:after="0"/>
              <w:rPr>
                <w:sz w:val="22"/>
                <w:szCs w:val="22"/>
                <w:color w:val="auto"/>
              </w:rPr>
            </w:pPr>
          </w:p>
        </w:tc>
        <w:tc>
          <w:tcPr>
            <w:tcW w:w="160" w:type="dxa"/>
            <w:vAlign w:val="bottom"/>
            <w:shd w:val="clear" w:color="auto" w:fill="EAEBEC"/>
          </w:tcPr>
          <w:p>
            <w:pPr>
              <w:spacing w:after="0"/>
              <w:rPr>
                <w:sz w:val="22"/>
                <w:szCs w:val="22"/>
                <w:color w:val="auto"/>
              </w:rPr>
            </w:pPr>
          </w:p>
        </w:tc>
        <w:tc>
          <w:tcPr>
            <w:tcW w:w="11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(18,669)</w:t>
            </w:r>
          </w:p>
        </w:tc>
        <w:tc>
          <w:tcPr>
            <w:tcW w:w="140" w:type="dxa"/>
            <w:vAlign w:val="bottom"/>
            <w:shd w:val="clear" w:color="auto" w:fill="EAEBEC"/>
          </w:tcPr>
          <w:p>
            <w:pPr>
              <w:spacing w:after="0"/>
              <w:rPr>
                <w:sz w:val="22"/>
                <w:szCs w:val="22"/>
                <w:color w:val="auto"/>
              </w:rPr>
            </w:pPr>
          </w:p>
        </w:tc>
        <w:tc>
          <w:tcPr>
            <w:tcW w:w="160" w:type="dxa"/>
            <w:vAlign w:val="bottom"/>
            <w:shd w:val="clear" w:color="auto" w:fill="EAEBEC"/>
          </w:tcPr>
          <w:p>
            <w:pPr>
              <w:spacing w:after="0"/>
              <w:rPr>
                <w:sz w:val="22"/>
                <w:szCs w:val="22"/>
                <w:color w:val="auto"/>
              </w:rPr>
            </w:pPr>
          </w:p>
        </w:tc>
        <w:tc>
          <w:tcPr>
            <w:tcW w:w="11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(16,188)</w:t>
            </w:r>
          </w:p>
        </w:tc>
      </w:tr>
      <w:tr>
        <w:trPr>
          <w:trHeight w:val="200"/>
        </w:trPr>
        <w:tc>
          <w:tcPr>
            <w:tcW w:w="5940" w:type="dxa"/>
            <w:vAlign w:val="bottom"/>
            <w:tcBorders>
              <w:top w:val="single" w:sz="8" w:color="EAEBEC"/>
            </w:tcBorders>
          </w:tcPr>
          <w:p>
            <w:pPr>
              <w:ind w:left="400"/>
              <w:spacing w:after="0" w:line="200" w:lineRule="exact"/>
              <w:rPr>
                <w:sz w:val="20"/>
                <w:szCs w:val="20"/>
                <w:color w:val="auto"/>
              </w:rPr>
            </w:pPr>
            <w:r>
              <w:rPr>
                <w:rFonts w:ascii="Times New Roman" w:cs="Times New Roman" w:eastAsia="Times New Roman" w:hAnsi="Times New Roman"/>
                <w:sz w:val="20"/>
                <w:szCs w:val="20"/>
                <w:color w:val="231F20"/>
              </w:rPr>
              <w:t>Net income (loss) attributable to Class A and B-1 common</w:t>
            </w:r>
          </w:p>
        </w:tc>
        <w:tc>
          <w:tcPr>
            <w:tcW w:w="160" w:type="dxa"/>
            <w:vAlign w:val="bottom"/>
            <w:tcBorders>
              <w:top w:val="single" w:sz="8" w:color="231F20"/>
            </w:tcBorders>
          </w:tcPr>
          <w:p>
            <w:pPr>
              <w:spacing w:after="0"/>
              <w:rPr>
                <w:sz w:val="17"/>
                <w:szCs w:val="17"/>
                <w:color w:val="auto"/>
              </w:rPr>
            </w:pPr>
          </w:p>
        </w:tc>
        <w:tc>
          <w:tcPr>
            <w:tcW w:w="1080" w:type="dxa"/>
            <w:vAlign w:val="bottom"/>
            <w:tcBorders>
              <w:top w:val="single" w:sz="8" w:color="231F20"/>
            </w:tcBorders>
          </w:tcPr>
          <w:p>
            <w:pPr>
              <w:spacing w:after="0"/>
              <w:rPr>
                <w:sz w:val="17"/>
                <w:szCs w:val="17"/>
                <w:color w:val="auto"/>
              </w:rPr>
            </w:pPr>
          </w:p>
        </w:tc>
        <w:tc>
          <w:tcPr>
            <w:tcW w:w="100" w:type="dxa"/>
            <w:vAlign w:val="bottom"/>
            <w:tcBorders>
              <w:top w:val="single" w:sz="8" w:color="EAEBEC"/>
            </w:tcBorders>
          </w:tcPr>
          <w:p>
            <w:pPr>
              <w:spacing w:after="0"/>
              <w:rPr>
                <w:sz w:val="17"/>
                <w:szCs w:val="17"/>
                <w:color w:val="auto"/>
              </w:rPr>
            </w:pPr>
          </w:p>
        </w:tc>
        <w:tc>
          <w:tcPr>
            <w:tcW w:w="140" w:type="dxa"/>
            <w:vAlign w:val="bottom"/>
            <w:tcBorders>
              <w:top w:val="single" w:sz="8" w:color="EAEBEC"/>
            </w:tcBorders>
          </w:tcPr>
          <w:p>
            <w:pPr>
              <w:spacing w:after="0"/>
              <w:rPr>
                <w:sz w:val="17"/>
                <w:szCs w:val="17"/>
                <w:color w:val="auto"/>
              </w:rPr>
            </w:pPr>
          </w:p>
        </w:tc>
        <w:tc>
          <w:tcPr>
            <w:tcW w:w="160" w:type="dxa"/>
            <w:vAlign w:val="bottom"/>
            <w:tcBorders>
              <w:top w:val="single" w:sz="8" w:color="231F20"/>
            </w:tcBorders>
          </w:tcPr>
          <w:p>
            <w:pPr>
              <w:spacing w:after="0"/>
              <w:rPr>
                <w:sz w:val="17"/>
                <w:szCs w:val="17"/>
                <w:color w:val="auto"/>
              </w:rPr>
            </w:pPr>
          </w:p>
        </w:tc>
        <w:tc>
          <w:tcPr>
            <w:tcW w:w="1080" w:type="dxa"/>
            <w:vAlign w:val="bottom"/>
            <w:tcBorders>
              <w:top w:val="single" w:sz="8" w:color="231F20"/>
            </w:tcBorders>
          </w:tcPr>
          <w:p>
            <w:pPr>
              <w:spacing w:after="0"/>
              <w:rPr>
                <w:sz w:val="17"/>
                <w:szCs w:val="17"/>
                <w:color w:val="auto"/>
              </w:rPr>
            </w:pPr>
          </w:p>
        </w:tc>
        <w:tc>
          <w:tcPr>
            <w:tcW w:w="100" w:type="dxa"/>
            <w:vAlign w:val="bottom"/>
            <w:tcBorders>
              <w:top w:val="single" w:sz="8" w:color="EAEBEC"/>
            </w:tcBorders>
          </w:tcPr>
          <w:p>
            <w:pPr>
              <w:spacing w:after="0"/>
              <w:rPr>
                <w:sz w:val="17"/>
                <w:szCs w:val="17"/>
                <w:color w:val="auto"/>
              </w:rPr>
            </w:pPr>
          </w:p>
        </w:tc>
        <w:tc>
          <w:tcPr>
            <w:tcW w:w="140" w:type="dxa"/>
            <w:vAlign w:val="bottom"/>
            <w:tcBorders>
              <w:top w:val="single" w:sz="8" w:color="EAEBEC"/>
            </w:tcBorders>
          </w:tcPr>
          <w:p>
            <w:pPr>
              <w:spacing w:after="0"/>
              <w:rPr>
                <w:sz w:val="17"/>
                <w:szCs w:val="17"/>
                <w:color w:val="auto"/>
              </w:rPr>
            </w:pPr>
          </w:p>
        </w:tc>
        <w:tc>
          <w:tcPr>
            <w:tcW w:w="160" w:type="dxa"/>
            <w:vAlign w:val="bottom"/>
            <w:tcBorders>
              <w:top w:val="single" w:sz="8" w:color="231F20"/>
            </w:tcBorders>
          </w:tcPr>
          <w:p>
            <w:pPr>
              <w:spacing w:after="0"/>
              <w:rPr>
                <w:sz w:val="17"/>
                <w:szCs w:val="17"/>
                <w:color w:val="auto"/>
              </w:rPr>
            </w:pPr>
          </w:p>
        </w:tc>
        <w:tc>
          <w:tcPr>
            <w:tcW w:w="1080" w:type="dxa"/>
            <w:vAlign w:val="bottom"/>
            <w:tcBorders>
              <w:top w:val="single" w:sz="8" w:color="231F20"/>
            </w:tcBorders>
          </w:tcPr>
          <w:p>
            <w:pPr>
              <w:spacing w:after="0"/>
              <w:rPr>
                <w:sz w:val="17"/>
                <w:szCs w:val="17"/>
                <w:color w:val="auto"/>
              </w:rPr>
            </w:pPr>
          </w:p>
        </w:tc>
        <w:tc>
          <w:tcPr>
            <w:tcW w:w="100" w:type="dxa"/>
            <w:vAlign w:val="bottom"/>
            <w:tcBorders>
              <w:top w:val="single" w:sz="8" w:color="EAEBEC"/>
            </w:tcBorders>
          </w:tcPr>
          <w:p>
            <w:pPr>
              <w:spacing w:after="0"/>
              <w:rPr>
                <w:sz w:val="17"/>
                <w:szCs w:val="17"/>
                <w:color w:val="auto"/>
              </w:rPr>
            </w:pPr>
          </w:p>
        </w:tc>
      </w:tr>
      <w:tr>
        <w:trPr>
          <w:trHeight w:val="250"/>
        </w:trPr>
        <w:tc>
          <w:tcPr>
            <w:tcW w:w="5940" w:type="dxa"/>
            <w:vAlign w:val="bottom"/>
          </w:tcPr>
          <w:p>
            <w:pPr>
              <w:ind w:left="560"/>
              <w:spacing w:after="0"/>
              <w:rPr>
                <w:sz w:val="20"/>
                <w:szCs w:val="20"/>
                <w:color w:val="auto"/>
              </w:rPr>
            </w:pPr>
            <w:r>
              <w:rPr>
                <w:rFonts w:ascii="Times New Roman" w:cs="Times New Roman" w:eastAsia="Times New Roman" w:hAnsi="Times New Roman"/>
                <w:sz w:val="20"/>
                <w:szCs w:val="20"/>
                <w:color w:val="231F20"/>
              </w:rPr>
              <w:t>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9,066</w:t>
            </w:r>
          </w:p>
        </w:tc>
        <w:tc>
          <w:tcPr>
            <w:tcW w:w="100" w:type="dxa"/>
            <w:vAlign w:val="bottom"/>
          </w:tcPr>
          <w:p>
            <w:pPr>
              <w:spacing w:after="0"/>
              <w:rPr>
                <w:sz w:val="21"/>
                <w:szCs w:val="21"/>
                <w:color w:val="auto"/>
              </w:rPr>
            </w:pP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(101,816)</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(1,280,210)</w:t>
            </w:r>
          </w:p>
        </w:tc>
      </w:tr>
      <w:tr>
        <w:trPr>
          <w:trHeight w:val="244"/>
        </w:trPr>
        <w:tc>
          <w:tcPr>
            <w:tcW w:w="59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231F20"/>
              </w:rPr>
              <w:t>Net income (loss) per Class A and B-1 common share:</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5940" w:type="dxa"/>
            <w:vAlign w:val="bottom"/>
            <w:shd w:val="clear" w:color="auto" w:fill="EAEBEC"/>
          </w:tcPr>
          <w:p>
            <w:pPr>
              <w:ind w:left="400"/>
              <w:spacing w:after="0"/>
              <w:rPr>
                <w:sz w:val="20"/>
                <w:szCs w:val="20"/>
                <w:color w:val="auto"/>
              </w:rPr>
            </w:pPr>
            <w:r>
              <w:rPr>
                <w:rFonts w:ascii="Times New Roman" w:cs="Times New Roman" w:eastAsia="Times New Roman" w:hAnsi="Times New Roman"/>
                <w:sz w:val="20"/>
                <w:szCs w:val="20"/>
                <w:color w:val="231F20"/>
              </w:rPr>
              <w:t>Basic</w:t>
            </w:r>
          </w:p>
        </w:tc>
        <w:tc>
          <w:tcPr>
            <w:tcW w:w="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0.03</w:t>
            </w:r>
          </w:p>
        </w:tc>
        <w:tc>
          <w:tcPr>
            <w:tcW w:w="100" w:type="dxa"/>
            <w:vAlign w:val="bottom"/>
            <w:shd w:val="clear" w:color="auto" w:fill="EAEBEC"/>
          </w:tcPr>
          <w:p>
            <w:pPr>
              <w:spacing w:after="0"/>
              <w:rPr>
                <w:sz w:val="21"/>
                <w:szCs w:val="21"/>
                <w:color w:val="auto"/>
              </w:rPr>
            </w:pPr>
          </w:p>
        </w:tc>
        <w:tc>
          <w:tcPr>
            <w:tcW w:w="300" w:type="dxa"/>
            <w:vAlign w:val="bottom"/>
            <w:gridSpan w:val="2"/>
            <w:shd w:val="clear" w:color="auto" w:fill="EAEBEC"/>
          </w:tcPr>
          <w:p>
            <w:pPr>
              <w:ind w:left="14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(0.37)</w:t>
            </w:r>
          </w:p>
        </w:tc>
        <w:tc>
          <w:tcPr>
            <w:tcW w:w="300" w:type="dxa"/>
            <w:vAlign w:val="bottom"/>
            <w:gridSpan w:val="2"/>
            <w:shd w:val="clear" w:color="auto" w:fill="EAEBEC"/>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(4.78)</w:t>
            </w:r>
          </w:p>
        </w:tc>
      </w:tr>
      <w:tr>
        <w:trPr>
          <w:trHeight w:val="244"/>
        </w:trPr>
        <w:tc>
          <w:tcPr>
            <w:tcW w:w="594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0.03</w:t>
            </w:r>
          </w:p>
        </w:tc>
        <w:tc>
          <w:tcPr>
            <w:tcW w:w="100" w:type="dxa"/>
            <w:vAlign w:val="bottom"/>
          </w:tcPr>
          <w:p>
            <w:pPr>
              <w:spacing w:after="0"/>
              <w:rPr>
                <w:sz w:val="21"/>
                <w:szCs w:val="21"/>
                <w:color w:val="auto"/>
              </w:rPr>
            </w:pP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(0.37)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(4.78)</w:t>
            </w:r>
          </w:p>
        </w:tc>
      </w:tr>
      <w:tr>
        <w:trPr>
          <w:trHeight w:val="244"/>
        </w:trPr>
        <w:tc>
          <w:tcPr>
            <w:tcW w:w="59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3758565</wp:posOffset>
            </wp:positionH>
            <wp:positionV relativeFrom="paragraph">
              <wp:posOffset>-4624070</wp:posOffset>
            </wp:positionV>
            <wp:extent cx="270383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extLst>
                    </a:blip>
                    <a:srcRect/>
                    <a:stretch>
                      <a:fillRect/>
                    </a:stretch>
                  </pic:blipFill>
                  <pic:spPr bwMode="auto">
                    <a:xfrm>
                      <a:off x="0" y="0"/>
                      <a:ext cx="2703830" cy="38100"/>
                    </a:xfrm>
                    <a:prstGeom prst="rect">
                      <a:avLst/>
                    </a:prstGeom>
                    <a:noFill/>
                  </pic:spPr>
                </pic:pic>
              </a:graphicData>
            </a:graphic>
          </wp:anchor>
        </w:drawing>
      </w:r>
    </w:p>
    <w:p>
      <w:pPr>
        <w:sectPr>
          <w:pgSz w:w="11880" w:h="15480" w:orient="portrait"/>
          <w:cols w:equalWidth="0" w:num="1">
            <w:col w:w="10240"/>
          </w:cols>
          <w:pgMar w:left="820" w:top="876" w:right="820" w:bottom="0" w:gutter="0" w:footer="0" w:header="0"/>
        </w:sectPr>
      </w:pPr>
    </w:p>
    <w:p>
      <w:pPr>
        <w:spacing w:after="0"/>
        <w:rPr>
          <w:sz w:val="20"/>
          <w:szCs w:val="20"/>
          <w:color w:val="auto"/>
        </w:rPr>
      </w:pPr>
      <w:r>
        <w:rPr>
          <w:rFonts w:ascii="Times New Roman" w:cs="Times New Roman" w:eastAsia="Times New Roman" w:hAnsi="Times New Roman"/>
          <w:sz w:val="20"/>
          <w:szCs w:val="20"/>
          <w:color w:val="231F20"/>
        </w:rPr>
        <w:t>Weighted average shares used in computing net income (loss)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231F20"/>
        </w:rPr>
        <w:t>per Class A and B-1 common 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-4445</wp:posOffset>
                </wp:positionV>
                <wp:extent cx="6492240" cy="15430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2240" cy="154305"/>
                        </a:xfrm>
                        <a:prstGeom prst="rect">
                          <a:avLst/>
                        </a:prstGeom>
                        <a:solidFill>
                          <a:srgbClr val="EAEBEC"/>
                        </a:solidFill>
                      </wps:spPr>
                      <wps:bodyPr/>
                    </wps:wsp>
                  </a:graphicData>
                </a:graphic>
              </wp:anchor>
            </w:drawing>
          </mc:Choice>
          <mc:Fallback>
            <w:pict>
              <v:rect id="Shape 39" o:spid="_x0000_s1064" style="position:absolute;margin-left:0.4pt;margin-top:-0.3499pt;width:511.2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w:r>
    </w:p>
    <w:p>
      <w:pPr>
        <w:ind w:left="400"/>
        <w:spacing w:after="0"/>
        <w:rPr>
          <w:sz w:val="20"/>
          <w:szCs w:val="20"/>
          <w:color w:val="auto"/>
        </w:rPr>
      </w:pPr>
      <w:r>
        <w:rPr>
          <w:rFonts w:ascii="Times New Roman" w:cs="Times New Roman" w:eastAsia="Times New Roman" w:hAnsi="Times New Roman"/>
          <w:sz w:val="20"/>
          <w:szCs w:val="20"/>
          <w:color w:val="231F20"/>
        </w:rPr>
        <w:t>Basic</w:t>
      </w:r>
    </w:p>
    <w:p>
      <w:pPr>
        <w:spacing w:after="0" w:line="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231F20"/>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106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231F20"/>
                <w:w w:val="98"/>
              </w:rPr>
              <w:t>279,555</w:t>
            </w:r>
          </w:p>
        </w:tc>
        <w:tc>
          <w:tcPr>
            <w:tcW w:w="148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231F20"/>
              </w:rPr>
              <w:t>273,410</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267,549</w:t>
            </w:r>
          </w:p>
        </w:tc>
      </w:tr>
      <w:tr>
        <w:trPr>
          <w:trHeight w:val="283"/>
        </w:trPr>
        <w:tc>
          <w:tcPr>
            <w:tcW w:w="106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231F20"/>
                <w:w w:val="98"/>
              </w:rPr>
              <w:t>286,148</w:t>
            </w:r>
          </w:p>
        </w:tc>
        <w:tc>
          <w:tcPr>
            <w:tcW w:w="1480" w:type="dxa"/>
            <w:vAlign w:val="bottom"/>
          </w:tcPr>
          <w:p>
            <w:pPr>
              <w:jc w:val="right"/>
              <w:ind w:right="300"/>
              <w:spacing w:after="0"/>
              <w:rPr>
                <w:sz w:val="20"/>
                <w:szCs w:val="20"/>
                <w:color w:val="auto"/>
              </w:rPr>
            </w:pPr>
            <w:r>
              <w:rPr>
                <w:rFonts w:ascii="Times New Roman" w:cs="Times New Roman" w:eastAsia="Times New Roman" w:hAnsi="Times New Roman"/>
                <w:sz w:val="20"/>
                <w:szCs w:val="20"/>
                <w:color w:val="231F20"/>
              </w:rPr>
              <w:t>273,410</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267,549</w:t>
            </w:r>
          </w:p>
        </w:tc>
      </w:tr>
    </w:tbl>
    <w:p>
      <w:pPr>
        <w:spacing w:after="0" w:line="200" w:lineRule="exact"/>
        <w:rPr>
          <w:sz w:val="20"/>
          <w:szCs w:val="20"/>
          <w:color w:val="auto"/>
        </w:rPr>
      </w:pPr>
    </w:p>
    <w:p>
      <w:pPr>
        <w:sectPr>
          <w:pgSz w:w="11880" w:h="15480" w:orient="portrait"/>
          <w:cols w:equalWidth="0" w:num="2">
            <w:col w:w="5800" w:space="720"/>
            <w:col w:w="3720"/>
          </w:cols>
          <w:pgMar w:left="820" w:top="876" w:right="820" w:bottom="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1880" w:h="15480" w:orient="portrait"/>
          <w:cols w:equalWidth="0" w:num="1">
            <w:col w:w="10240"/>
          </w:cols>
          <w:pgMar w:left="820" w:top="876" w:right="8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10240"/>
          </w:cols>
          <w:pgMar w:left="820" w:top="876" w:right="820" w:bottom="0" w:gutter="0" w:footer="0" w:header="0"/>
          <w:type w:val="continuous"/>
        </w:sectPr>
      </w:pPr>
    </w:p>
    <w:bookmarkStart w:id="77" w:name="page78"/>
    <w:bookmarkEnd w:id="77"/>
    <w:p>
      <w:pPr>
        <w:ind w:left="2700"/>
        <w:spacing w:after="0"/>
        <w:rPr>
          <w:sz w:val="20"/>
          <w:szCs w:val="20"/>
          <w:color w:val="auto"/>
        </w:rPr>
      </w:pPr>
      <w:r>
        <w:rPr>
          <w:rFonts w:ascii="Times New Roman" w:cs="Times New Roman" w:eastAsia="Times New Roman" w:hAnsi="Times New Roman"/>
          <w:sz w:val="20"/>
          <w:szCs w:val="20"/>
          <w:b w:val="1"/>
          <w:bCs w:val="1"/>
          <w:color w:val="231F20"/>
        </w:rPr>
        <w:t>PETCO HEALTH AND WELLNESS COMPANY, INC.</w:t>
      </w:r>
    </w:p>
    <w:p>
      <w:pPr>
        <w:spacing w:after="0" w:line="12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b w:val="1"/>
          <w:bCs w:val="1"/>
          <w:color w:val="231F20"/>
        </w:rPr>
        <w:t>CONSOLIDATED STATEMENTS OF COMPREHENSIVE INCOME (LOSS)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w w:val="98"/>
              </w:rPr>
              <w:t>Fiscal years ended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8"/>
              </w:rPr>
              <w:t>January 31,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8"/>
              </w:rPr>
              <w:t>February 3,</w:t>
            </w:r>
          </w:p>
        </w:tc>
      </w:tr>
      <w:tr>
        <w:trPr>
          <w:trHeight w:val="203"/>
        </w:trPr>
        <w:tc>
          <w:tcPr>
            <w:tcW w:w="594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00" w:type="dxa"/>
            <w:vAlign w:val="bottom"/>
          </w:tcPr>
          <w:p>
            <w:pPr>
              <w:spacing w:after="0"/>
              <w:rPr>
                <w:sz w:val="17"/>
                <w:szCs w:val="17"/>
                <w:color w:val="auto"/>
              </w:rPr>
            </w:pPr>
          </w:p>
        </w:tc>
      </w:tr>
      <w:tr>
        <w:trPr>
          <w:trHeight w:val="193"/>
        </w:trPr>
        <w:tc>
          <w:tcPr>
            <w:tcW w:w="5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231F20"/>
              </w:rPr>
              <w:t>(53 weeks)</w:t>
            </w:r>
          </w:p>
        </w:tc>
        <w:tc>
          <w:tcPr>
            <w:tcW w:w="100" w:type="dxa"/>
            <w:vAlign w:val="bottom"/>
          </w:tcPr>
          <w:p>
            <w:pPr>
              <w:spacing w:after="0"/>
              <w:rPr>
                <w:sz w:val="16"/>
                <w:szCs w:val="16"/>
                <w:color w:val="auto"/>
              </w:rPr>
            </w:pPr>
          </w:p>
        </w:tc>
      </w:tr>
      <w:tr>
        <w:trPr>
          <w:trHeight w:val="225"/>
        </w:trPr>
        <w:tc>
          <w:tcPr>
            <w:tcW w:w="5940" w:type="dxa"/>
            <w:vAlign w:val="bottom"/>
            <w:shd w:val="clear" w:color="auto" w:fill="EAEBEC"/>
          </w:tcPr>
          <w:p>
            <w:pPr>
              <w:spacing w:after="0" w:line="225" w:lineRule="exact"/>
              <w:rPr>
                <w:sz w:val="20"/>
                <w:szCs w:val="20"/>
                <w:color w:val="auto"/>
              </w:rPr>
            </w:pPr>
            <w:r>
              <w:rPr>
                <w:rFonts w:ascii="Times New Roman" w:cs="Times New Roman" w:eastAsia="Times New Roman" w:hAnsi="Times New Roman"/>
                <w:sz w:val="20"/>
                <w:szCs w:val="20"/>
                <w:color w:val="231F20"/>
              </w:rPr>
              <w:t>Net income (loss) attributable to Class A and B-1 common</w:t>
            </w:r>
          </w:p>
        </w:tc>
        <w:tc>
          <w:tcPr>
            <w:tcW w:w="160" w:type="dxa"/>
            <w:vAlign w:val="bottom"/>
            <w:shd w:val="clear" w:color="auto" w:fill="EAEBEC"/>
          </w:tcPr>
          <w:p>
            <w:pPr>
              <w:spacing w:after="0"/>
              <w:rPr>
                <w:sz w:val="19"/>
                <w:szCs w:val="19"/>
                <w:color w:val="auto"/>
              </w:rPr>
            </w:pPr>
          </w:p>
        </w:tc>
        <w:tc>
          <w:tcPr>
            <w:tcW w:w="1080" w:type="dxa"/>
            <w:vAlign w:val="bottom"/>
            <w:shd w:val="clear" w:color="auto" w:fill="EAEBEC"/>
          </w:tcPr>
          <w:p>
            <w:pPr>
              <w:spacing w:after="0"/>
              <w:rPr>
                <w:sz w:val="19"/>
                <w:szCs w:val="19"/>
                <w:color w:val="auto"/>
              </w:rPr>
            </w:pPr>
          </w:p>
        </w:tc>
        <w:tc>
          <w:tcPr>
            <w:tcW w:w="100" w:type="dxa"/>
            <w:vAlign w:val="bottom"/>
            <w:shd w:val="clear" w:color="auto" w:fill="EAEBEC"/>
          </w:tcPr>
          <w:p>
            <w:pPr>
              <w:spacing w:after="0"/>
              <w:rPr>
                <w:sz w:val="19"/>
                <w:szCs w:val="19"/>
                <w:color w:val="auto"/>
              </w:rPr>
            </w:pPr>
          </w:p>
        </w:tc>
        <w:tc>
          <w:tcPr>
            <w:tcW w:w="140" w:type="dxa"/>
            <w:vAlign w:val="bottom"/>
            <w:shd w:val="clear" w:color="auto" w:fill="EAEBEC"/>
          </w:tcPr>
          <w:p>
            <w:pPr>
              <w:spacing w:after="0"/>
              <w:rPr>
                <w:sz w:val="19"/>
                <w:szCs w:val="19"/>
                <w:color w:val="auto"/>
              </w:rPr>
            </w:pPr>
          </w:p>
        </w:tc>
        <w:tc>
          <w:tcPr>
            <w:tcW w:w="160" w:type="dxa"/>
            <w:vAlign w:val="bottom"/>
            <w:shd w:val="clear" w:color="auto" w:fill="EAEBEC"/>
          </w:tcPr>
          <w:p>
            <w:pPr>
              <w:spacing w:after="0"/>
              <w:rPr>
                <w:sz w:val="19"/>
                <w:szCs w:val="19"/>
                <w:color w:val="auto"/>
              </w:rPr>
            </w:pPr>
          </w:p>
        </w:tc>
        <w:tc>
          <w:tcPr>
            <w:tcW w:w="1080" w:type="dxa"/>
            <w:vAlign w:val="bottom"/>
            <w:shd w:val="clear" w:color="auto" w:fill="EAEBEC"/>
          </w:tcPr>
          <w:p>
            <w:pPr>
              <w:spacing w:after="0"/>
              <w:rPr>
                <w:sz w:val="19"/>
                <w:szCs w:val="19"/>
                <w:color w:val="auto"/>
              </w:rPr>
            </w:pPr>
          </w:p>
        </w:tc>
        <w:tc>
          <w:tcPr>
            <w:tcW w:w="100" w:type="dxa"/>
            <w:vAlign w:val="bottom"/>
            <w:shd w:val="clear" w:color="auto" w:fill="EAEBEC"/>
          </w:tcPr>
          <w:p>
            <w:pPr>
              <w:spacing w:after="0"/>
              <w:rPr>
                <w:sz w:val="19"/>
                <w:szCs w:val="19"/>
                <w:color w:val="auto"/>
              </w:rPr>
            </w:pPr>
          </w:p>
        </w:tc>
        <w:tc>
          <w:tcPr>
            <w:tcW w:w="140" w:type="dxa"/>
            <w:vAlign w:val="bottom"/>
            <w:shd w:val="clear" w:color="auto" w:fill="EAEBEC"/>
          </w:tcPr>
          <w:p>
            <w:pPr>
              <w:spacing w:after="0"/>
              <w:rPr>
                <w:sz w:val="19"/>
                <w:szCs w:val="19"/>
                <w:color w:val="auto"/>
              </w:rPr>
            </w:pPr>
          </w:p>
        </w:tc>
        <w:tc>
          <w:tcPr>
            <w:tcW w:w="160" w:type="dxa"/>
            <w:vAlign w:val="bottom"/>
            <w:shd w:val="clear" w:color="auto" w:fill="EAEBEC"/>
          </w:tcPr>
          <w:p>
            <w:pPr>
              <w:spacing w:after="0"/>
              <w:rPr>
                <w:sz w:val="19"/>
                <w:szCs w:val="19"/>
                <w:color w:val="auto"/>
              </w:rPr>
            </w:pPr>
          </w:p>
        </w:tc>
        <w:tc>
          <w:tcPr>
            <w:tcW w:w="1080" w:type="dxa"/>
            <w:vAlign w:val="bottom"/>
            <w:shd w:val="clear" w:color="auto" w:fill="EAEBEC"/>
          </w:tcPr>
          <w:p>
            <w:pPr>
              <w:spacing w:after="0"/>
              <w:rPr>
                <w:sz w:val="19"/>
                <w:szCs w:val="19"/>
                <w:color w:val="auto"/>
              </w:rPr>
            </w:pPr>
          </w:p>
        </w:tc>
        <w:tc>
          <w:tcPr>
            <w:tcW w:w="100" w:type="dxa"/>
            <w:vAlign w:val="bottom"/>
            <w:shd w:val="clear" w:color="auto" w:fill="EAEBEC"/>
          </w:tcPr>
          <w:p>
            <w:pPr>
              <w:spacing w:after="0"/>
              <w:rPr>
                <w:sz w:val="19"/>
                <w:szCs w:val="19"/>
                <w:color w:val="auto"/>
              </w:rPr>
            </w:pPr>
          </w:p>
        </w:tc>
      </w:tr>
      <w:tr>
        <w:trPr>
          <w:trHeight w:val="249"/>
        </w:trPr>
        <w:tc>
          <w:tcPr>
            <w:tcW w:w="5940" w:type="dxa"/>
            <w:vAlign w:val="bottom"/>
            <w:shd w:val="clear" w:color="auto" w:fill="EAEBEC"/>
          </w:tcPr>
          <w:p>
            <w:pPr>
              <w:ind w:left="160"/>
              <w:spacing w:after="0"/>
              <w:rPr>
                <w:sz w:val="20"/>
                <w:szCs w:val="20"/>
                <w:color w:val="auto"/>
              </w:rPr>
            </w:pPr>
            <w:r>
              <w:rPr>
                <w:rFonts w:ascii="Times New Roman" w:cs="Times New Roman" w:eastAsia="Times New Roman" w:hAnsi="Times New Roman"/>
                <w:sz w:val="20"/>
                <w:szCs w:val="20"/>
                <w:color w:val="231F20"/>
              </w:rPr>
              <w:t>stockholders</w:t>
            </w:r>
          </w:p>
        </w:tc>
        <w:tc>
          <w:tcPr>
            <w:tcW w:w="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9,066</w:t>
            </w:r>
          </w:p>
        </w:tc>
        <w:tc>
          <w:tcPr>
            <w:tcW w:w="100" w:type="dxa"/>
            <w:vAlign w:val="bottom"/>
            <w:shd w:val="clear" w:color="auto" w:fill="EAEBEC"/>
          </w:tcPr>
          <w:p>
            <w:pPr>
              <w:spacing w:after="0"/>
              <w:rPr>
                <w:sz w:val="21"/>
                <w:szCs w:val="21"/>
                <w:color w:val="auto"/>
              </w:rPr>
            </w:pPr>
          </w:p>
        </w:tc>
        <w:tc>
          <w:tcPr>
            <w:tcW w:w="300" w:type="dxa"/>
            <w:vAlign w:val="bottom"/>
            <w:gridSpan w:val="2"/>
            <w:shd w:val="clear" w:color="auto" w:fill="EAEBEC"/>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(101,816)</w:t>
            </w: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(1,280,210)</w:t>
            </w:r>
          </w:p>
        </w:tc>
      </w:tr>
      <w:tr>
        <w:trPr>
          <w:trHeight w:val="244"/>
        </w:trPr>
        <w:tc>
          <w:tcPr>
            <w:tcW w:w="5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59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Other comprehensive income (loss), net of tax:</w:t>
            </w: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r>
      <w:tr>
        <w:trPr>
          <w:trHeight w:val="244"/>
        </w:trPr>
        <w:tc>
          <w:tcPr>
            <w:tcW w:w="59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Foreign currency translation adjustment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(21,836)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5,534</w:t>
            </w:r>
          </w:p>
        </w:tc>
        <w:tc>
          <w:tcPr>
            <w:tcW w:w="100" w:type="dxa"/>
            <w:vAlign w:val="bottom"/>
          </w:tcPr>
          <w:p>
            <w:pPr>
              <w:spacing w:after="0"/>
              <w:rPr>
                <w:sz w:val="21"/>
                <w:szCs w:val="21"/>
                <w:color w:val="auto"/>
              </w:rPr>
            </w:pPr>
          </w:p>
        </w:tc>
      </w:tr>
      <w:tr>
        <w:trPr>
          <w:trHeight w:val="244"/>
        </w:trPr>
        <w:tc>
          <w:tcPr>
            <w:tcW w:w="59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Unrealized (loss) gain on derivatives</w:t>
            </w:r>
          </w:p>
        </w:tc>
        <w:tc>
          <w:tcPr>
            <w:tcW w:w="160" w:type="dxa"/>
            <w:vAlign w:val="bottom"/>
            <w:shd w:val="clear" w:color="auto" w:fill="EAEBEC"/>
          </w:tcPr>
          <w:p>
            <w:pPr>
              <w:spacing w:after="0"/>
              <w:rPr>
                <w:sz w:val="21"/>
                <w:szCs w:val="21"/>
                <w:color w:val="auto"/>
              </w:rPr>
            </w:pPr>
          </w:p>
        </w:tc>
        <w:tc>
          <w:tcPr>
            <w:tcW w:w="11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(587)</w:t>
            </w: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4,303</w:t>
            </w:r>
          </w:p>
        </w:tc>
        <w:tc>
          <w:tcPr>
            <w:tcW w:w="1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752</w:t>
            </w:r>
          </w:p>
        </w:tc>
        <w:tc>
          <w:tcPr>
            <w:tcW w:w="100" w:type="dxa"/>
            <w:vAlign w:val="bottom"/>
            <w:shd w:val="clear" w:color="auto" w:fill="EAEBEC"/>
          </w:tcPr>
          <w:p>
            <w:pPr>
              <w:spacing w:after="0"/>
              <w:rPr>
                <w:sz w:val="21"/>
                <w:szCs w:val="21"/>
                <w:color w:val="auto"/>
              </w:rPr>
            </w:pPr>
          </w:p>
        </w:tc>
      </w:tr>
      <w:tr>
        <w:trPr>
          <w:trHeight w:val="244"/>
        </w:trPr>
        <w:tc>
          <w:tcPr>
            <w:tcW w:w="59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Gains on derivatives reclassified to income</w:t>
            </w:r>
          </w:p>
        </w:tc>
        <w:tc>
          <w:tcPr>
            <w:tcW w:w="16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(418)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(2,371)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(367)</w:t>
            </w:r>
          </w:p>
        </w:tc>
      </w:tr>
      <w:tr>
        <w:trPr>
          <w:trHeight w:val="239"/>
        </w:trPr>
        <w:tc>
          <w:tcPr>
            <w:tcW w:w="5940" w:type="dxa"/>
            <w:vAlign w:val="bottom"/>
            <w:tcBorders>
              <w:top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Total other comprehensive income (loss), net of tax</w:t>
            </w:r>
          </w:p>
        </w:tc>
        <w:tc>
          <w:tcPr>
            <w:tcW w:w="160" w:type="dxa"/>
            <w:vAlign w:val="bottom"/>
            <w:tcBorders>
              <w:top w:val="single" w:sz="8" w:color="231F20"/>
              <w:bottom w:val="single" w:sz="8" w:color="231F20"/>
            </w:tcBorders>
            <w:shd w:val="clear" w:color="auto" w:fill="EAEBEC"/>
          </w:tcPr>
          <w:p>
            <w:pPr>
              <w:spacing w:after="0"/>
              <w:rPr>
                <w:sz w:val="20"/>
                <w:szCs w:val="20"/>
                <w:color w:val="auto"/>
              </w:rPr>
            </w:pPr>
          </w:p>
        </w:tc>
        <w:tc>
          <w:tcPr>
            <w:tcW w:w="108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9,694</w:t>
            </w:r>
          </w:p>
        </w:tc>
        <w:tc>
          <w:tcPr>
            <w:tcW w:w="100" w:type="dxa"/>
            <w:vAlign w:val="bottom"/>
            <w:tcBorders>
              <w:top w:val="single" w:sz="8" w:color="EAEBEC"/>
            </w:tcBorders>
            <w:shd w:val="clear" w:color="auto" w:fill="EAEBEC"/>
          </w:tcPr>
          <w:p>
            <w:pPr>
              <w:spacing w:after="0"/>
              <w:rPr>
                <w:sz w:val="20"/>
                <w:szCs w:val="20"/>
                <w:color w:val="auto"/>
              </w:rPr>
            </w:pPr>
          </w:p>
        </w:tc>
        <w:tc>
          <w:tcPr>
            <w:tcW w:w="140" w:type="dxa"/>
            <w:vAlign w:val="bottom"/>
            <w:tcBorders>
              <w:top w:val="single" w:sz="8" w:color="EAEBEC"/>
              <w:bottom w:val="single" w:sz="8" w:color="231F20"/>
            </w:tcBorders>
            <w:shd w:val="clear" w:color="auto" w:fill="EAEBEC"/>
          </w:tcPr>
          <w:p>
            <w:pPr>
              <w:spacing w:after="0"/>
              <w:rPr>
                <w:sz w:val="20"/>
                <w:szCs w:val="20"/>
                <w:color w:val="auto"/>
              </w:rPr>
            </w:pPr>
          </w:p>
        </w:tc>
        <w:tc>
          <w:tcPr>
            <w:tcW w:w="160" w:type="dxa"/>
            <w:vAlign w:val="bottom"/>
            <w:tcBorders>
              <w:top w:val="single" w:sz="8" w:color="231F20"/>
              <w:bottom w:val="single" w:sz="8" w:color="231F20"/>
            </w:tcBorders>
            <w:shd w:val="clear" w:color="auto" w:fill="EAEBEC"/>
          </w:tcPr>
          <w:p>
            <w:pPr>
              <w:spacing w:after="0"/>
              <w:rPr>
                <w:sz w:val="20"/>
                <w:szCs w:val="20"/>
                <w:color w:val="auto"/>
              </w:rPr>
            </w:pPr>
          </w:p>
        </w:tc>
        <w:tc>
          <w:tcPr>
            <w:tcW w:w="108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(19,904)</w:t>
            </w:r>
          </w:p>
        </w:tc>
        <w:tc>
          <w:tcPr>
            <w:tcW w:w="100" w:type="dxa"/>
            <w:vAlign w:val="bottom"/>
            <w:tcBorders>
              <w:top w:val="single" w:sz="8" w:color="EAEBEC"/>
            </w:tcBorders>
            <w:shd w:val="clear" w:color="auto" w:fill="EAEBEC"/>
          </w:tcPr>
          <w:p>
            <w:pPr>
              <w:spacing w:after="0"/>
              <w:rPr>
                <w:sz w:val="20"/>
                <w:szCs w:val="20"/>
                <w:color w:val="auto"/>
              </w:rPr>
            </w:pPr>
          </w:p>
        </w:tc>
        <w:tc>
          <w:tcPr>
            <w:tcW w:w="140" w:type="dxa"/>
            <w:vAlign w:val="bottom"/>
            <w:tcBorders>
              <w:top w:val="single" w:sz="8" w:color="EAEBEC"/>
              <w:bottom w:val="single" w:sz="8" w:color="231F20"/>
            </w:tcBorders>
            <w:shd w:val="clear" w:color="auto" w:fill="EAEBEC"/>
          </w:tcPr>
          <w:p>
            <w:pPr>
              <w:spacing w:after="0"/>
              <w:rPr>
                <w:sz w:val="20"/>
                <w:szCs w:val="20"/>
                <w:color w:val="auto"/>
              </w:rPr>
            </w:pPr>
          </w:p>
        </w:tc>
        <w:tc>
          <w:tcPr>
            <w:tcW w:w="160" w:type="dxa"/>
            <w:vAlign w:val="bottom"/>
            <w:tcBorders>
              <w:top w:val="single" w:sz="8" w:color="231F20"/>
              <w:bottom w:val="single" w:sz="8" w:color="231F20"/>
            </w:tcBorders>
            <w:shd w:val="clear" w:color="auto" w:fill="EAEBEC"/>
          </w:tcPr>
          <w:p>
            <w:pPr>
              <w:spacing w:after="0"/>
              <w:rPr>
                <w:sz w:val="20"/>
                <w:szCs w:val="20"/>
                <w:color w:val="auto"/>
              </w:rPr>
            </w:pPr>
          </w:p>
        </w:tc>
        <w:tc>
          <w:tcPr>
            <w:tcW w:w="108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5,919</w:t>
            </w:r>
          </w:p>
        </w:tc>
        <w:tc>
          <w:tcPr>
            <w:tcW w:w="100" w:type="dxa"/>
            <w:vAlign w:val="bottom"/>
            <w:tcBorders>
              <w:top w:val="single" w:sz="8" w:color="EAEBEC"/>
            </w:tcBorders>
            <w:shd w:val="clear" w:color="auto" w:fill="EAEBEC"/>
          </w:tcPr>
          <w:p>
            <w:pPr>
              <w:spacing w:after="0"/>
              <w:rPr>
                <w:sz w:val="20"/>
                <w:szCs w:val="20"/>
                <w:color w:val="auto"/>
              </w:rPr>
            </w:pPr>
          </w:p>
        </w:tc>
      </w:tr>
      <w:tr>
        <w:trPr>
          <w:trHeight w:val="220"/>
        </w:trPr>
        <w:tc>
          <w:tcPr>
            <w:tcW w:w="59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231F20"/>
              </w:rPr>
              <w:t>Comprehensive income (loss) attributable to Class A and B-1</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594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18,760</w:t>
            </w:r>
          </w:p>
        </w:tc>
        <w:tc>
          <w:tcPr>
            <w:tcW w:w="10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(121,720)</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(1,274,291)</w:t>
            </w:r>
          </w:p>
        </w:tc>
      </w:tr>
      <w:tr>
        <w:trPr>
          <w:trHeight w:val="20"/>
        </w:trPr>
        <w:tc>
          <w:tcPr>
            <w:tcW w:w="594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3758565</wp:posOffset>
            </wp:positionH>
            <wp:positionV relativeFrom="paragraph">
              <wp:posOffset>-1979930</wp:posOffset>
            </wp:positionV>
            <wp:extent cx="270383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9">
                      <a:extLst>
                        <a:ext uri="{28A0092B-C50C-407E-A947-70E740481C1C}"/>
                      </a:extLst>
                    </a:blip>
                    <a:srcRect/>
                    <a:stretch>
                      <a:fillRect/>
                    </a:stretch>
                  </pic:blipFill>
                  <pic:spPr bwMode="auto">
                    <a:xfrm>
                      <a:off x="0" y="0"/>
                      <a:ext cx="2703830" cy="3810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1880" w:h="15480" w:orient="portrait"/>
          <w:cols w:equalWidth="0" w:num="1">
            <w:col w:w="10240"/>
          </w:cols>
          <w:pgMar w:left="820" w:top="87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10240"/>
          </w:cols>
          <w:pgMar w:left="820" w:top="876" w:right="820" w:bottom="0" w:gutter="0" w:footer="0" w:header="0"/>
          <w:type w:val="continuous"/>
        </w:sectPr>
      </w:pPr>
    </w:p>
    <w:bookmarkStart w:id="78" w:name="page79"/>
    <w:bookmarkEnd w:id="78"/>
    <w:p>
      <w:pPr>
        <w:ind w:left="5020"/>
        <w:spacing w:after="0"/>
        <w:rPr>
          <w:sz w:val="20"/>
          <w:szCs w:val="20"/>
          <w:color w:val="auto"/>
        </w:rPr>
      </w:pPr>
      <w:r>
        <w:rPr>
          <w:rFonts w:ascii="Times New Roman" w:cs="Times New Roman" w:eastAsia="Times New Roman" w:hAnsi="Times New Roman"/>
          <w:sz w:val="19"/>
          <w:szCs w:val="19"/>
          <w:b w:val="1"/>
          <w:bCs w:val="1"/>
          <w:color w:val="231F20"/>
        </w:rPr>
        <w:t>PETCO HEALTH AND WELLNESS COMPANY, INC.</w:t>
      </w:r>
    </w:p>
    <w:p>
      <w:pPr>
        <w:spacing w:after="0" w:line="11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9"/>
          <w:szCs w:val="19"/>
          <w:b w:val="1"/>
          <w:bCs w:val="1"/>
          <w:color w:val="231F20"/>
        </w:rPr>
        <w:t>CONSOLIDATED STATEMENTS OF EQUITY</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gridSpan w:val="7"/>
          </w:tcPr>
          <w:p>
            <w:pPr>
              <w:ind w:left="760"/>
              <w:spacing w:after="0"/>
              <w:rPr>
                <w:sz w:val="20"/>
                <w:szCs w:val="20"/>
                <w:color w:val="auto"/>
              </w:rPr>
            </w:pPr>
            <w:r>
              <w:rPr>
                <w:rFonts w:ascii="Times New Roman" w:cs="Times New Roman" w:eastAsia="Times New Roman" w:hAnsi="Times New Roman"/>
                <w:sz w:val="12"/>
                <w:szCs w:val="12"/>
                <w:b w:val="1"/>
                <w:bCs w:val="1"/>
                <w:color w:val="231F20"/>
              </w:rPr>
              <w:t>Common stock</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5"/>
          </w:tcPr>
          <w:p>
            <w:pPr>
              <w:jc w:val="center"/>
              <w:ind w:right="300"/>
              <w:spacing w:after="0"/>
              <w:rPr>
                <w:sz w:val="20"/>
                <w:szCs w:val="20"/>
                <w:color w:val="auto"/>
              </w:rPr>
            </w:pPr>
            <w:r>
              <w:rPr>
                <w:rFonts w:ascii="Times New Roman" w:cs="Times New Roman" w:eastAsia="Times New Roman" w:hAnsi="Times New Roman"/>
                <w:sz w:val="12"/>
                <w:szCs w:val="12"/>
                <w:b w:val="1"/>
                <w:bCs w:val="1"/>
                <w:color w:val="231F20"/>
                <w:w w:val="96"/>
              </w:rPr>
              <w:t>Accumulated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ind w:right="42"/>
              <w:spacing w:after="0" w:line="133" w:lineRule="exact"/>
              <w:rPr>
                <w:sz w:val="20"/>
                <w:szCs w:val="20"/>
                <w:color w:val="auto"/>
              </w:rPr>
            </w:pPr>
            <w:r>
              <w:rPr>
                <w:rFonts w:ascii="Times New Roman" w:cs="Times New Roman" w:eastAsia="Times New Roman" w:hAnsi="Times New Roman"/>
                <w:sz w:val="12"/>
                <w:szCs w:val="12"/>
                <w:b w:val="1"/>
                <w:bCs w:val="1"/>
                <w:color w:val="231F20"/>
                <w:w w:val="94"/>
              </w:rPr>
              <w:t>Class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231F20"/>
                <w:w w:val="94"/>
              </w:rPr>
              <w:t>Class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tcPr>
          <w:p>
            <w:pPr>
              <w:jc w:val="center"/>
              <w:ind w:right="60"/>
              <w:spacing w:after="0" w:line="133" w:lineRule="exact"/>
              <w:rPr>
                <w:sz w:val="20"/>
                <w:szCs w:val="20"/>
                <w:color w:val="auto"/>
              </w:rPr>
            </w:pPr>
            <w:r>
              <w:rPr>
                <w:rFonts w:ascii="Times New Roman" w:cs="Times New Roman" w:eastAsia="Times New Roman" w:hAnsi="Times New Roman"/>
                <w:sz w:val="12"/>
                <w:szCs w:val="12"/>
                <w:b w:val="1"/>
                <w:bCs w:val="1"/>
                <w:color w:val="231F20"/>
                <w:w w:val="94"/>
              </w:rPr>
              <w:t>Class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2"/>
                <w:szCs w:val="12"/>
                <w:b w:val="1"/>
                <w:bCs w:val="1"/>
                <w:color w:val="231F20"/>
                <w:w w:val="97"/>
              </w:rPr>
              <w:t>Additional paid-in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7"/>
          </w:tcPr>
          <w:p>
            <w:pPr>
              <w:jc w:val="center"/>
              <w:ind w:right="300"/>
              <w:spacing w:after="0" w:line="133" w:lineRule="exact"/>
              <w:rPr>
                <w:sz w:val="20"/>
                <w:szCs w:val="20"/>
                <w:color w:val="auto"/>
              </w:rPr>
            </w:pPr>
            <w:r>
              <w:rPr>
                <w:rFonts w:ascii="Times New Roman" w:cs="Times New Roman" w:eastAsia="Times New Roman" w:hAnsi="Times New Roman"/>
                <w:sz w:val="12"/>
                <w:szCs w:val="12"/>
                <w:b w:val="1"/>
                <w:bCs w:val="1"/>
                <w:color w:val="231F20"/>
                <w:w w:val="96"/>
              </w:rPr>
              <w:t>Retained earnings</w:t>
            </w:r>
          </w:p>
        </w:tc>
        <w:tc>
          <w:tcPr>
            <w:tcW w:w="140" w:type="dxa"/>
            <w:vAlign w:val="bottom"/>
          </w:tcPr>
          <w:p>
            <w:pPr>
              <w:spacing w:after="0"/>
              <w:rPr>
                <w:sz w:val="11"/>
                <w:szCs w:val="11"/>
                <w:color w:val="auto"/>
              </w:rPr>
            </w:pPr>
          </w:p>
        </w:tc>
        <w:tc>
          <w:tcPr>
            <w:tcW w:w="1360" w:type="dxa"/>
            <w:vAlign w:val="bottom"/>
            <w:gridSpan w:val="5"/>
          </w:tcPr>
          <w:p>
            <w:pPr>
              <w:jc w:val="center"/>
              <w:ind w:right="300"/>
              <w:spacing w:after="0" w:line="133" w:lineRule="exact"/>
              <w:rPr>
                <w:sz w:val="20"/>
                <w:szCs w:val="20"/>
                <w:color w:val="auto"/>
              </w:rPr>
            </w:pPr>
            <w:r>
              <w:rPr>
                <w:rFonts w:ascii="Times New Roman" w:cs="Times New Roman" w:eastAsia="Times New Roman" w:hAnsi="Times New Roman"/>
                <w:sz w:val="12"/>
                <w:szCs w:val="12"/>
                <w:b w:val="1"/>
                <w:bCs w:val="1"/>
                <w:color w:val="231F20"/>
                <w:w w:val="94"/>
              </w:rPr>
              <w:t>other</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231F20"/>
              </w:rPr>
              <w:t>Total</w:t>
            </w:r>
          </w:p>
        </w:tc>
        <w:tc>
          <w:tcPr>
            <w:tcW w:w="0" w:type="dxa"/>
            <w:vAlign w:val="bottom"/>
          </w:tcPr>
          <w:p>
            <w:pPr>
              <w:spacing w:after="0"/>
              <w:rPr>
                <w:sz w:val="1"/>
                <w:szCs w:val="1"/>
                <w:color w:val="auto"/>
              </w:rPr>
            </w:pPr>
          </w:p>
        </w:tc>
      </w:tr>
      <w:tr>
        <w:trPr>
          <w:trHeight w:val="133"/>
        </w:trPr>
        <w:tc>
          <w:tcPr>
            <w:tcW w:w="4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jc w:val="center"/>
              <w:ind w:right="42"/>
              <w:spacing w:after="0" w:line="133" w:lineRule="exact"/>
              <w:rPr>
                <w:sz w:val="20"/>
                <w:szCs w:val="20"/>
                <w:color w:val="auto"/>
              </w:rPr>
            </w:pPr>
            <w:r>
              <w:rPr>
                <w:rFonts w:ascii="Times New Roman" w:cs="Times New Roman" w:eastAsia="Times New Roman" w:hAnsi="Times New Roman"/>
                <w:sz w:val="12"/>
                <w:szCs w:val="12"/>
                <w:b w:val="1"/>
                <w:bCs w:val="1"/>
                <w:color w:val="231F20"/>
              </w:rPr>
              <w:t>A</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2"/>
                <w:szCs w:val="12"/>
                <w:b w:val="1"/>
                <w:bCs w:val="1"/>
                <w:color w:val="231F20"/>
                <w:w w:val="99"/>
              </w:rPr>
              <w:t>B-1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2"/>
          </w:tcPr>
          <w:p>
            <w:pPr>
              <w:jc w:val="center"/>
              <w:ind w:right="60"/>
              <w:spacing w:after="0" w:line="133" w:lineRule="exact"/>
              <w:rPr>
                <w:sz w:val="20"/>
                <w:szCs w:val="20"/>
                <w:color w:val="auto"/>
              </w:rPr>
            </w:pPr>
            <w:r>
              <w:rPr>
                <w:rFonts w:ascii="Times New Roman" w:cs="Times New Roman" w:eastAsia="Times New Roman" w:hAnsi="Times New Roman"/>
                <w:sz w:val="12"/>
                <w:szCs w:val="12"/>
                <w:b w:val="1"/>
                <w:bCs w:val="1"/>
                <w:color w:val="231F20"/>
                <w:w w:val="99"/>
              </w:rPr>
              <w:t>B-2</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7"/>
          </w:tcPr>
          <w:p>
            <w:pPr>
              <w:jc w:val="center"/>
              <w:ind w:right="300"/>
              <w:spacing w:after="0" w:line="133" w:lineRule="exact"/>
              <w:rPr>
                <w:sz w:val="20"/>
                <w:szCs w:val="20"/>
                <w:color w:val="auto"/>
              </w:rPr>
            </w:pPr>
            <w:r>
              <w:rPr>
                <w:rFonts w:ascii="Times New Roman" w:cs="Times New Roman" w:eastAsia="Times New Roman" w:hAnsi="Times New Roman"/>
                <w:sz w:val="12"/>
                <w:szCs w:val="12"/>
                <w:b w:val="1"/>
                <w:bCs w:val="1"/>
                <w:color w:val="231F20"/>
                <w:w w:val="95"/>
              </w:rPr>
              <w:t>(accumulated</w:t>
            </w:r>
          </w:p>
        </w:tc>
        <w:tc>
          <w:tcPr>
            <w:tcW w:w="140" w:type="dxa"/>
            <w:vAlign w:val="bottom"/>
          </w:tcPr>
          <w:p>
            <w:pPr>
              <w:spacing w:after="0"/>
              <w:rPr>
                <w:sz w:val="11"/>
                <w:szCs w:val="11"/>
                <w:color w:val="auto"/>
              </w:rPr>
            </w:pPr>
          </w:p>
        </w:tc>
        <w:tc>
          <w:tcPr>
            <w:tcW w:w="1360" w:type="dxa"/>
            <w:vAlign w:val="bottom"/>
            <w:gridSpan w:val="5"/>
          </w:tcPr>
          <w:p>
            <w:pPr>
              <w:jc w:val="center"/>
              <w:ind w:right="300"/>
              <w:spacing w:after="0" w:line="133" w:lineRule="exact"/>
              <w:rPr>
                <w:sz w:val="20"/>
                <w:szCs w:val="20"/>
                <w:color w:val="auto"/>
              </w:rPr>
            </w:pPr>
            <w:r>
              <w:rPr>
                <w:rFonts w:ascii="Times New Roman" w:cs="Times New Roman" w:eastAsia="Times New Roman" w:hAnsi="Times New Roman"/>
                <w:sz w:val="12"/>
                <w:szCs w:val="12"/>
                <w:b w:val="1"/>
                <w:bCs w:val="1"/>
                <w:color w:val="231F20"/>
                <w:w w:val="96"/>
              </w:rPr>
              <w:t>comprehensive</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jc w:val="center"/>
              <w:ind w:right="42"/>
              <w:spacing w:after="0"/>
              <w:rPr>
                <w:sz w:val="20"/>
                <w:szCs w:val="20"/>
                <w:color w:val="auto"/>
              </w:rPr>
            </w:pPr>
            <w:r>
              <w:rPr>
                <w:rFonts w:ascii="Times New Roman" w:cs="Times New Roman" w:eastAsia="Times New Roman" w:hAnsi="Times New Roman"/>
                <w:sz w:val="12"/>
                <w:szCs w:val="12"/>
                <w:b w:val="1"/>
                <w:bCs w:val="1"/>
                <w:color w:val="231F20"/>
                <w:w w:val="93"/>
              </w:rPr>
              <w:t>(shares)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231F20"/>
                <w:w w:val="93"/>
              </w:rPr>
              <w:t>(shares)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231F20"/>
                <w:w w:val="93"/>
              </w:rPr>
              <w:t>(shares)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231F20"/>
              </w:rPr>
              <w:t>Amount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b w:val="1"/>
                <w:bCs w:val="1"/>
                <w:color w:val="231F20"/>
              </w:rPr>
              <w:t>capital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7"/>
          </w:tcPr>
          <w:p>
            <w:pPr>
              <w:jc w:val="center"/>
              <w:ind w:right="300"/>
              <w:spacing w:after="0"/>
              <w:rPr>
                <w:sz w:val="20"/>
                <w:szCs w:val="20"/>
                <w:color w:val="auto"/>
              </w:rPr>
            </w:pPr>
            <w:r>
              <w:rPr>
                <w:rFonts w:ascii="Times New Roman" w:cs="Times New Roman" w:eastAsia="Times New Roman" w:hAnsi="Times New Roman"/>
                <w:sz w:val="12"/>
                <w:szCs w:val="12"/>
                <w:b w:val="1"/>
                <w:bCs w:val="1"/>
                <w:color w:val="231F20"/>
                <w:w w:val="94"/>
              </w:rPr>
              <w:t>deficit)</w:t>
            </w:r>
          </w:p>
        </w:tc>
        <w:tc>
          <w:tcPr>
            <w:tcW w:w="140" w:type="dxa"/>
            <w:vAlign w:val="bottom"/>
          </w:tcPr>
          <w:p>
            <w:pPr>
              <w:spacing w:after="0"/>
              <w:rPr>
                <w:sz w:val="13"/>
                <w:szCs w:val="13"/>
                <w:color w:val="auto"/>
              </w:rPr>
            </w:pPr>
          </w:p>
        </w:tc>
        <w:tc>
          <w:tcPr>
            <w:tcW w:w="1360" w:type="dxa"/>
            <w:vAlign w:val="bottom"/>
            <w:gridSpan w:val="5"/>
          </w:tcPr>
          <w:p>
            <w:pPr>
              <w:jc w:val="center"/>
              <w:ind w:right="320"/>
              <w:spacing w:after="0"/>
              <w:rPr>
                <w:sz w:val="20"/>
                <w:szCs w:val="20"/>
                <w:color w:val="auto"/>
              </w:rPr>
            </w:pPr>
            <w:r>
              <w:rPr>
                <w:rFonts w:ascii="Times New Roman" w:cs="Times New Roman" w:eastAsia="Times New Roman" w:hAnsi="Times New Roman"/>
                <w:sz w:val="12"/>
                <w:szCs w:val="12"/>
                <w:b w:val="1"/>
                <w:bCs w:val="1"/>
                <w:color w:val="231F20"/>
                <w:w w:val="96"/>
              </w:rPr>
              <w:t>(loss) income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231F20"/>
                <w:w w:val="94"/>
              </w:rPr>
              <w:t>stockholders’ equity</w:t>
            </w:r>
          </w:p>
        </w:tc>
        <w:tc>
          <w:tcPr>
            <w:tcW w:w="0" w:type="dxa"/>
            <w:vAlign w:val="bottom"/>
          </w:tcPr>
          <w:p>
            <w:pPr>
              <w:spacing w:after="0"/>
              <w:rPr>
                <w:sz w:val="1"/>
                <w:szCs w:val="1"/>
                <w:color w:val="auto"/>
              </w:rPr>
            </w:pPr>
          </w:p>
        </w:tc>
      </w:tr>
      <w:tr>
        <w:trPr>
          <w:trHeight w:val="141"/>
        </w:trPr>
        <w:tc>
          <w:tcPr>
            <w:tcW w:w="4520" w:type="dxa"/>
            <w:vAlign w:val="bottom"/>
            <w:tcBorders>
              <w:top w:val="single" w:sz="8" w:color="EAEBEC"/>
            </w:tcBorders>
            <w:gridSpan w:val="5"/>
            <w:shd w:val="clear" w:color="auto" w:fill="EAEBEC"/>
          </w:tcPr>
          <w:p>
            <w:pPr>
              <w:spacing w:after="0"/>
              <w:rPr>
                <w:sz w:val="20"/>
                <w:szCs w:val="20"/>
                <w:color w:val="auto"/>
              </w:rPr>
            </w:pPr>
            <w:r>
              <w:rPr>
                <w:rFonts w:ascii="Times New Roman" w:cs="Times New Roman" w:eastAsia="Times New Roman" w:hAnsi="Times New Roman"/>
                <w:sz w:val="12"/>
                <w:szCs w:val="12"/>
                <w:b w:val="1"/>
                <w:bCs w:val="1"/>
                <w:color w:val="231F20"/>
              </w:rPr>
              <w:t>Balance at January 28, 2023</w:t>
            </w:r>
          </w:p>
        </w:tc>
        <w:tc>
          <w:tcPr>
            <w:tcW w:w="10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228,338</w:t>
            </w:r>
          </w:p>
        </w:tc>
        <w:tc>
          <w:tcPr>
            <w:tcW w:w="4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108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37,791</w:t>
            </w:r>
          </w:p>
        </w:tc>
        <w:tc>
          <w:tcPr>
            <w:tcW w:w="20" w:type="dxa"/>
            <w:vAlign w:val="bottom"/>
            <w:tcBorders>
              <w:top w:val="single" w:sz="8" w:color="231F20"/>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110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37,791</w:t>
            </w:r>
          </w:p>
        </w:tc>
        <w:tc>
          <w:tcPr>
            <w:tcW w:w="20" w:type="dxa"/>
            <w:vAlign w:val="bottom"/>
            <w:tcBorders>
              <w:top w:val="single" w:sz="8" w:color="231F20"/>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180" w:type="dxa"/>
            <w:vAlign w:val="bottom"/>
            <w:tcBorders>
              <w:top w:val="single" w:sz="8" w:color="231F20"/>
            </w:tcBorders>
            <w:shd w:val="clear" w:color="auto" w:fill="EAEBEC"/>
          </w:tcPr>
          <w:p>
            <w:pPr>
              <w:jc w:val="right"/>
              <w:ind w:right="154"/>
              <w:spacing w:after="0"/>
              <w:rPr>
                <w:sz w:val="20"/>
                <w:szCs w:val="20"/>
                <w:color w:val="auto"/>
              </w:rPr>
            </w:pPr>
            <w:r>
              <w:rPr>
                <w:rFonts w:ascii="Times New Roman" w:cs="Times New Roman" w:eastAsia="Times New Roman" w:hAnsi="Times New Roman"/>
                <w:sz w:val="1"/>
                <w:szCs w:val="1"/>
                <w:color w:val="231F20"/>
                <w:w w:val="4294967286"/>
              </w:rPr>
              <w:t>$</w:t>
            </w:r>
          </w:p>
        </w:tc>
        <w:tc>
          <w:tcPr>
            <w:tcW w:w="96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266</w:t>
            </w:r>
          </w:p>
        </w:tc>
        <w:tc>
          <w:tcPr>
            <w:tcW w:w="20" w:type="dxa"/>
            <w:vAlign w:val="bottom"/>
            <w:tcBorders>
              <w:top w:val="single" w:sz="8" w:color="231F20"/>
            </w:tcBorders>
            <w:shd w:val="clear" w:color="auto" w:fill="EAEBEC"/>
          </w:tcPr>
          <w:p>
            <w:pPr>
              <w:spacing w:after="0"/>
              <w:rPr>
                <w:sz w:val="12"/>
                <w:szCs w:val="12"/>
                <w:color w:val="auto"/>
              </w:rPr>
            </w:pPr>
          </w:p>
        </w:tc>
        <w:tc>
          <w:tcPr>
            <w:tcW w:w="4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08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2,152,342</w:t>
            </w:r>
          </w:p>
        </w:tc>
        <w:tc>
          <w:tcPr>
            <w:tcW w:w="20" w:type="dxa"/>
            <w:vAlign w:val="bottom"/>
            <w:tcBorders>
              <w:top w:val="single" w:sz="8" w:color="231F20"/>
            </w:tcBorders>
            <w:shd w:val="clear" w:color="auto" w:fill="EAEBEC"/>
          </w:tcPr>
          <w:p>
            <w:pPr>
              <w:spacing w:after="0"/>
              <w:rPr>
                <w:sz w:val="12"/>
                <w:szCs w:val="12"/>
                <w:color w:val="auto"/>
              </w:rPr>
            </w:pPr>
          </w:p>
        </w:tc>
        <w:tc>
          <w:tcPr>
            <w:tcW w:w="4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231F20"/>
            </w:tcBorders>
            <w:shd w:val="clear" w:color="auto" w:fill="EAEBEC"/>
          </w:tcPr>
          <w:p>
            <w:pPr>
              <w:spacing w:after="0"/>
              <w:rPr>
                <w:sz w:val="12"/>
                <w:szCs w:val="12"/>
                <w:color w:val="auto"/>
              </w:rPr>
            </w:pPr>
          </w:p>
        </w:tc>
        <w:tc>
          <w:tcPr>
            <w:tcW w:w="100" w:type="dxa"/>
            <w:vAlign w:val="bottom"/>
            <w:tcBorders>
              <w:top w:val="single" w:sz="8" w:color="231F20"/>
            </w:tcBorders>
            <w:shd w:val="clear" w:color="auto" w:fill="EAEBEC"/>
          </w:tcPr>
          <w:p>
            <w:pPr>
              <w:jc w:val="right"/>
              <w:ind w:right="77"/>
              <w:spacing w:after="0"/>
              <w:rPr>
                <w:sz w:val="20"/>
                <w:szCs w:val="20"/>
                <w:color w:val="auto"/>
              </w:rPr>
            </w:pPr>
            <w:r>
              <w:rPr>
                <w:rFonts w:ascii="Times New Roman" w:cs="Times New Roman" w:eastAsia="Times New Roman" w:hAnsi="Times New Roman"/>
                <w:sz w:val="5"/>
                <w:szCs w:val="5"/>
                <w:color w:val="231F20"/>
                <w:w w:val="78"/>
              </w:rPr>
              <w:t>$</w:t>
            </w:r>
          </w:p>
        </w:tc>
        <w:tc>
          <w:tcPr>
            <w:tcW w:w="128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232,967</w:t>
            </w:r>
          </w:p>
        </w:tc>
        <w:tc>
          <w:tcPr>
            <w:tcW w:w="20" w:type="dxa"/>
            <w:vAlign w:val="bottom"/>
            <w:tcBorders>
              <w:top w:val="single" w:sz="8" w:color="231F20"/>
            </w:tcBorders>
            <w:shd w:val="clear" w:color="auto" w:fill="EAEBEC"/>
          </w:tcPr>
          <w:p>
            <w:pPr>
              <w:spacing w:after="0"/>
              <w:rPr>
                <w:sz w:val="12"/>
                <w:szCs w:val="12"/>
                <w:color w:val="auto"/>
              </w:rPr>
            </w:pPr>
          </w:p>
        </w:tc>
        <w:tc>
          <w:tcPr>
            <w:tcW w:w="20" w:type="dxa"/>
            <w:vAlign w:val="bottom"/>
            <w:tcBorders>
              <w:top w:val="single" w:sz="8" w:color="231F20"/>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231F20"/>
            </w:tcBorders>
            <w:shd w:val="clear" w:color="auto" w:fill="EAEBEC"/>
          </w:tcPr>
          <w:p>
            <w:pPr>
              <w:spacing w:after="0"/>
              <w:rPr>
                <w:sz w:val="12"/>
                <w:szCs w:val="12"/>
                <w:color w:val="auto"/>
              </w:rPr>
            </w:pPr>
          </w:p>
        </w:tc>
        <w:tc>
          <w:tcPr>
            <w:tcW w:w="140" w:type="dxa"/>
            <w:vAlign w:val="bottom"/>
            <w:tcBorders>
              <w:top w:val="single" w:sz="8" w:color="231F20"/>
            </w:tcBorders>
            <w:shd w:val="clear" w:color="auto" w:fill="EAEBEC"/>
          </w:tcPr>
          <w:p>
            <w:pPr>
              <w:jc w:val="right"/>
              <w:ind w:right="117"/>
              <w:spacing w:after="0"/>
              <w:rPr>
                <w:sz w:val="20"/>
                <w:szCs w:val="20"/>
                <w:color w:val="auto"/>
              </w:rPr>
            </w:pPr>
            <w:r>
              <w:rPr>
                <w:rFonts w:ascii="Times New Roman" w:cs="Times New Roman" w:eastAsia="Times New Roman" w:hAnsi="Times New Roman"/>
                <w:sz w:val="5"/>
                <w:szCs w:val="5"/>
                <w:color w:val="231F20"/>
                <w:w w:val="78"/>
              </w:rPr>
              <w:t>$</w:t>
            </w:r>
          </w:p>
        </w:tc>
        <w:tc>
          <w:tcPr>
            <w:tcW w:w="1260" w:type="dxa"/>
            <w:vAlign w:val="bottom"/>
            <w:tcBorders>
              <w:top w:val="single" w:sz="8" w:color="231F20"/>
            </w:tcBorders>
            <w:gridSpan w:val="2"/>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(4,098)</w:t>
            </w:r>
          </w:p>
        </w:tc>
        <w:tc>
          <w:tcPr>
            <w:tcW w:w="6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EAEBEC"/>
            </w:tcBorders>
            <w:shd w:val="clear" w:color="auto" w:fill="EAEBEC"/>
          </w:tcPr>
          <w:p>
            <w:pPr>
              <w:spacing w:after="0"/>
              <w:rPr>
                <w:sz w:val="12"/>
                <w:szCs w:val="12"/>
                <w:color w:val="auto"/>
              </w:rPr>
            </w:pPr>
          </w:p>
        </w:tc>
        <w:tc>
          <w:tcPr>
            <w:tcW w:w="20" w:type="dxa"/>
            <w:vAlign w:val="bottom"/>
            <w:tcBorders>
              <w:top w:val="single" w:sz="8" w:color="231F20"/>
            </w:tcBorders>
            <w:shd w:val="clear" w:color="auto" w:fill="EAEBEC"/>
          </w:tcPr>
          <w:p>
            <w:pPr>
              <w:spacing w:after="0"/>
              <w:rPr>
                <w:sz w:val="12"/>
                <w:szCs w:val="12"/>
                <w:color w:val="auto"/>
              </w:rPr>
            </w:pPr>
          </w:p>
        </w:tc>
        <w:tc>
          <w:tcPr>
            <w:tcW w:w="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10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2,381,477</w:t>
            </w:r>
          </w:p>
        </w:tc>
        <w:tc>
          <w:tcPr>
            <w:tcW w:w="60" w:type="dxa"/>
            <w:vAlign w:val="bottom"/>
            <w:tcBorders>
              <w:top w:val="single" w:sz="8" w:color="EAEBEC"/>
            </w:tcBorders>
            <w:shd w:val="clear" w:color="auto" w:fill="EAEBE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2"/>
                <w:szCs w:val="12"/>
                <w:color w:val="231F20"/>
              </w:rPr>
              <w:t>Equity-based compensation expense</w:t>
            </w:r>
          </w:p>
        </w:tc>
        <w:tc>
          <w:tcPr>
            <w:tcW w:w="80" w:type="dxa"/>
            <w:vAlign w:val="bottom"/>
            <w:tcBorders>
              <w:top w:val="single" w:sz="8" w:color="231F20"/>
              <w:bottom w:val="single" w:sz="8" w:color="231F20"/>
            </w:tcBorders>
            <w:gridSpan w:val="4"/>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2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440" w:type="dxa"/>
            <w:vAlign w:val="bottom"/>
            <w:vMerge w:val="continue"/>
          </w:tcPr>
          <w:p>
            <w:pPr>
              <w:spacing w:after="0"/>
              <w:rPr>
                <w:sz w:val="9"/>
                <w:szCs w:val="9"/>
                <w:color w:val="auto"/>
              </w:rPr>
            </w:pPr>
          </w:p>
        </w:tc>
        <w:tc>
          <w:tcPr>
            <w:tcW w:w="80" w:type="dxa"/>
            <w:vAlign w:val="bottom"/>
            <w:gridSpan w:val="4"/>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82,680</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7"/>
            <w:vMerge w:val="restart"/>
          </w:tcPr>
          <w:p>
            <w:pPr>
              <w:jc w:val="right"/>
              <w:ind w:right="140"/>
              <w:spacing w:after="0"/>
              <w:rPr>
                <w:sz w:val="20"/>
                <w:szCs w:val="20"/>
                <w:color w:val="auto"/>
              </w:rPr>
            </w:pPr>
            <w:r>
              <w:rPr>
                <w:rFonts w:ascii="Times New Roman" w:cs="Times New Roman" w:eastAsia="Times New Roman" w:hAnsi="Times New Roman"/>
                <w:sz w:val="12"/>
                <w:szCs w:val="12"/>
                <w:color w:val="231F20"/>
              </w:rPr>
              <w:t>—</w:t>
            </w:r>
          </w:p>
        </w:tc>
        <w:tc>
          <w:tcPr>
            <w:tcW w:w="140" w:type="dxa"/>
            <w:vAlign w:val="bottom"/>
          </w:tcPr>
          <w:p>
            <w:pPr>
              <w:spacing w:after="0"/>
              <w:rPr>
                <w:sz w:val="9"/>
                <w:szCs w:val="9"/>
                <w:color w:val="auto"/>
              </w:rPr>
            </w:pPr>
          </w:p>
        </w:tc>
        <w:tc>
          <w:tcPr>
            <w:tcW w:w="136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82,680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52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231F20"/>
              </w:rPr>
              <w:t>(Note 11)</w:t>
            </w:r>
          </w:p>
        </w:tc>
        <w:tc>
          <w:tcPr>
            <w:tcW w:w="10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7"/>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gridSpan w:val="5"/>
            <w:shd w:val="clear" w:color="auto" w:fill="EAEBEC"/>
          </w:tcPr>
          <w:p>
            <w:pPr>
              <w:spacing w:after="0"/>
              <w:rPr>
                <w:sz w:val="20"/>
                <w:szCs w:val="20"/>
                <w:color w:val="auto"/>
              </w:rPr>
            </w:pPr>
            <w:r>
              <w:rPr>
                <w:rFonts w:ascii="Times New Roman" w:cs="Times New Roman" w:eastAsia="Times New Roman" w:hAnsi="Times New Roman"/>
                <w:sz w:val="12"/>
                <w:szCs w:val="12"/>
                <w:color w:val="231F20"/>
              </w:rPr>
              <w:t>Net loss</w:t>
            </w: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1100" w:type="dxa"/>
            <w:vAlign w:val="bottom"/>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1120" w:type="dxa"/>
            <w:vAlign w:val="bottom"/>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180" w:type="dxa"/>
            <w:vAlign w:val="bottom"/>
            <w:shd w:val="clear" w:color="auto" w:fill="EAEBEC"/>
          </w:tcPr>
          <w:p>
            <w:pPr>
              <w:spacing w:after="0"/>
              <w:rPr>
                <w:sz w:val="12"/>
                <w:szCs w:val="12"/>
                <w:color w:val="auto"/>
              </w:rPr>
            </w:pPr>
          </w:p>
        </w:tc>
        <w:tc>
          <w:tcPr>
            <w:tcW w:w="9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1140" w:type="dxa"/>
            <w:vAlign w:val="bottom"/>
            <w:gridSpan w:val="3"/>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100" w:type="dxa"/>
            <w:vAlign w:val="bottom"/>
            <w:shd w:val="clear" w:color="auto" w:fill="EAEBEC"/>
          </w:tcPr>
          <w:p>
            <w:pPr>
              <w:spacing w:after="0"/>
              <w:rPr>
                <w:sz w:val="12"/>
                <w:szCs w:val="12"/>
                <w:color w:val="auto"/>
              </w:rPr>
            </w:pPr>
          </w:p>
        </w:tc>
        <w:tc>
          <w:tcPr>
            <w:tcW w:w="1340" w:type="dxa"/>
            <w:vAlign w:val="bottom"/>
            <w:gridSpan w:val="4"/>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(1,280,210)</w:t>
            </w: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140" w:type="dxa"/>
            <w:vAlign w:val="bottom"/>
            <w:shd w:val="clear" w:color="auto" w:fill="EAEBEC"/>
          </w:tcPr>
          <w:p>
            <w:pPr>
              <w:spacing w:after="0"/>
              <w:rPr>
                <w:sz w:val="12"/>
                <w:szCs w:val="12"/>
                <w:color w:val="auto"/>
              </w:rPr>
            </w:pPr>
          </w:p>
        </w:tc>
        <w:tc>
          <w:tcPr>
            <w:tcW w:w="1360" w:type="dxa"/>
            <w:vAlign w:val="bottom"/>
            <w:gridSpan w:val="5"/>
            <w:shd w:val="clear" w:color="auto" w:fill="EAEBE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1160" w:type="dxa"/>
            <w:vAlign w:val="bottom"/>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(1,280,210)</w:t>
            </w:r>
          </w:p>
        </w:tc>
        <w:tc>
          <w:tcPr>
            <w:tcW w:w="0" w:type="dxa"/>
            <w:vAlign w:val="bottom"/>
          </w:tcPr>
          <w:p>
            <w:pPr>
              <w:spacing w:after="0"/>
              <w:rPr>
                <w:sz w:val="1"/>
                <w:szCs w:val="1"/>
                <w:color w:val="auto"/>
              </w:rPr>
            </w:pPr>
          </w:p>
        </w:tc>
      </w:tr>
      <w:tr>
        <w:trPr>
          <w:trHeight w:val="121"/>
        </w:trPr>
        <w:tc>
          <w:tcPr>
            <w:tcW w:w="4520" w:type="dxa"/>
            <w:vAlign w:val="bottom"/>
            <w:gridSpan w:val="5"/>
          </w:tcPr>
          <w:p>
            <w:pPr>
              <w:spacing w:after="0" w:line="121" w:lineRule="exact"/>
              <w:rPr>
                <w:sz w:val="20"/>
                <w:szCs w:val="20"/>
                <w:color w:val="auto"/>
              </w:rPr>
            </w:pPr>
            <w:r>
              <w:rPr>
                <w:rFonts w:ascii="Times New Roman" w:cs="Times New Roman" w:eastAsia="Times New Roman" w:hAnsi="Times New Roman"/>
                <w:sz w:val="12"/>
                <w:szCs w:val="12"/>
                <w:color w:val="231F20"/>
              </w:rPr>
              <w:t>Foreign currency translation</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7"/>
            <w:vMerge w:val="restart"/>
          </w:tcPr>
          <w:p>
            <w:pPr>
              <w:jc w:val="right"/>
              <w:ind w:right="140"/>
              <w:spacing w:after="0"/>
              <w:rPr>
                <w:sz w:val="20"/>
                <w:szCs w:val="20"/>
                <w:color w:val="auto"/>
              </w:rPr>
            </w:pPr>
            <w:r>
              <w:rPr>
                <w:rFonts w:ascii="Times New Roman" w:cs="Times New Roman" w:eastAsia="Times New Roman" w:hAnsi="Times New Roman"/>
                <w:sz w:val="12"/>
                <w:szCs w:val="12"/>
                <w:color w:val="231F20"/>
              </w:rPr>
              <w:t>—</w:t>
            </w:r>
          </w:p>
        </w:tc>
        <w:tc>
          <w:tcPr>
            <w:tcW w:w="14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5,534</w:t>
            </w:r>
          </w:p>
        </w:tc>
        <w:tc>
          <w:tcPr>
            <w:tcW w:w="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5,534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52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231F20"/>
              </w:rPr>
              <w:t>adjustment, net of tax of $1,932</w:t>
            </w:r>
          </w:p>
        </w:tc>
        <w:tc>
          <w:tcPr>
            <w:tcW w:w="10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7"/>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520" w:type="dxa"/>
            <w:vAlign w:val="bottom"/>
            <w:gridSpan w:val="5"/>
            <w:shd w:val="clear" w:color="auto" w:fill="EAEBEC"/>
          </w:tcPr>
          <w:p>
            <w:pPr>
              <w:spacing w:after="0" w:line="124" w:lineRule="exact"/>
              <w:rPr>
                <w:sz w:val="20"/>
                <w:szCs w:val="20"/>
                <w:color w:val="auto"/>
              </w:rPr>
            </w:pPr>
            <w:r>
              <w:rPr>
                <w:rFonts w:ascii="Times New Roman" w:cs="Times New Roman" w:eastAsia="Times New Roman" w:hAnsi="Times New Roman"/>
                <w:sz w:val="12"/>
                <w:szCs w:val="12"/>
                <w:color w:val="231F20"/>
              </w:rPr>
              <w:t>Unrealized gain on derivatives,</w:t>
            </w:r>
          </w:p>
        </w:tc>
        <w:tc>
          <w:tcPr>
            <w:tcW w:w="1040" w:type="dxa"/>
            <w:vAlign w:val="bottom"/>
            <w:vMerge w:val="restart"/>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0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2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80" w:type="dxa"/>
            <w:vAlign w:val="bottom"/>
            <w:shd w:val="clear" w:color="auto" w:fill="EAEBEC"/>
          </w:tcPr>
          <w:p>
            <w:pPr>
              <w:spacing w:after="0"/>
              <w:rPr>
                <w:sz w:val="10"/>
                <w:szCs w:val="10"/>
                <w:color w:val="auto"/>
              </w:rPr>
            </w:pPr>
          </w:p>
        </w:tc>
        <w:tc>
          <w:tcPr>
            <w:tcW w:w="980" w:type="dxa"/>
            <w:vAlign w:val="bottom"/>
            <w:gridSpan w:val="2"/>
            <w:vMerge w:val="restart"/>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40" w:type="dxa"/>
            <w:vAlign w:val="bottom"/>
            <w:gridSpan w:val="3"/>
            <w:vMerge w:val="restart"/>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00" w:type="dxa"/>
            <w:vAlign w:val="bottom"/>
            <w:shd w:val="clear" w:color="auto" w:fill="EAEBEC"/>
          </w:tcPr>
          <w:p>
            <w:pPr>
              <w:spacing w:after="0"/>
              <w:rPr>
                <w:sz w:val="10"/>
                <w:szCs w:val="10"/>
                <w:color w:val="auto"/>
              </w:rPr>
            </w:pPr>
          </w:p>
        </w:tc>
        <w:tc>
          <w:tcPr>
            <w:tcW w:w="1400" w:type="dxa"/>
            <w:vAlign w:val="bottom"/>
            <w:gridSpan w:val="7"/>
            <w:vMerge w:val="restart"/>
            <w:shd w:val="clear" w:color="auto" w:fill="EAEBEC"/>
          </w:tcPr>
          <w:p>
            <w:pPr>
              <w:jc w:val="right"/>
              <w:ind w:right="140"/>
              <w:spacing w:after="0"/>
              <w:rPr>
                <w:sz w:val="20"/>
                <w:szCs w:val="20"/>
                <w:color w:val="auto"/>
              </w:rPr>
            </w:pPr>
            <w:r>
              <w:rPr>
                <w:rFonts w:ascii="Times New Roman" w:cs="Times New Roman" w:eastAsia="Times New Roman" w:hAnsi="Times New Roman"/>
                <w:sz w:val="12"/>
                <w:szCs w:val="12"/>
                <w:color w:val="231F20"/>
              </w:rPr>
              <w:t>—</w:t>
            </w:r>
          </w:p>
        </w:tc>
        <w:tc>
          <w:tcPr>
            <w:tcW w:w="140" w:type="dxa"/>
            <w:vAlign w:val="bottom"/>
            <w:shd w:val="clear" w:color="auto" w:fill="EAEBEC"/>
          </w:tcPr>
          <w:p>
            <w:pPr>
              <w:spacing w:after="0"/>
              <w:rPr>
                <w:sz w:val="10"/>
                <w:szCs w:val="10"/>
                <w:color w:val="auto"/>
              </w:rPr>
            </w:pPr>
          </w:p>
        </w:tc>
        <w:tc>
          <w:tcPr>
            <w:tcW w:w="1260" w:type="dxa"/>
            <w:vAlign w:val="bottom"/>
            <w:vMerge w:val="restart"/>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752</w:t>
            </w:r>
          </w:p>
        </w:tc>
        <w:tc>
          <w:tcPr>
            <w:tcW w:w="0" w:type="dxa"/>
            <w:vAlign w:val="bottom"/>
            <w:shd w:val="clear" w:color="auto" w:fill="EAEBEC"/>
          </w:tcPr>
          <w:p>
            <w:pPr>
              <w:spacing w:after="0"/>
              <w:rPr>
                <w:sz w:val="10"/>
                <w:szCs w:val="10"/>
                <w:color w:val="auto"/>
              </w:rPr>
            </w:pPr>
          </w:p>
        </w:tc>
        <w:tc>
          <w:tcPr>
            <w:tcW w:w="6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00" w:type="dxa"/>
            <w:vAlign w:val="bottom"/>
            <w:vMerge w:val="restart"/>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752</w:t>
            </w:r>
          </w:p>
        </w:tc>
        <w:tc>
          <w:tcPr>
            <w:tcW w:w="60" w:type="dxa"/>
            <w:vAlign w:val="bottom"/>
            <w:shd w:val="clear" w:color="auto" w:fill="EAEBEC"/>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520" w:type="dxa"/>
            <w:vAlign w:val="bottom"/>
            <w:gridSpan w:val="5"/>
            <w:shd w:val="clear" w:color="auto" w:fill="EAEBEC"/>
          </w:tcPr>
          <w:p>
            <w:pPr>
              <w:ind w:left="100"/>
              <w:spacing w:after="0"/>
              <w:rPr>
                <w:sz w:val="20"/>
                <w:szCs w:val="20"/>
                <w:color w:val="auto"/>
              </w:rPr>
            </w:pPr>
            <w:r>
              <w:rPr>
                <w:rFonts w:ascii="Times New Roman" w:cs="Times New Roman" w:eastAsia="Times New Roman" w:hAnsi="Times New Roman"/>
                <w:sz w:val="12"/>
                <w:szCs w:val="12"/>
                <w:color w:val="231F20"/>
              </w:rPr>
              <w:t>net of tax of $246 (Note 8)</w:t>
            </w:r>
          </w:p>
        </w:tc>
        <w:tc>
          <w:tcPr>
            <w:tcW w:w="1040" w:type="dxa"/>
            <w:vAlign w:val="bottom"/>
            <w:vMerge w:val="continue"/>
            <w:shd w:val="clear" w:color="auto" w:fill="EAEBEC"/>
          </w:tcPr>
          <w:p>
            <w:pPr>
              <w:spacing w:after="0"/>
              <w:rPr>
                <w:sz w:val="13"/>
                <w:szCs w:val="13"/>
                <w:color w:val="auto"/>
              </w:rPr>
            </w:pPr>
          </w:p>
        </w:tc>
        <w:tc>
          <w:tcPr>
            <w:tcW w:w="4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00" w:type="dxa"/>
            <w:vAlign w:val="bottom"/>
            <w:gridSpan w:val="2"/>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20" w:type="dxa"/>
            <w:vAlign w:val="bottom"/>
            <w:gridSpan w:val="2"/>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80" w:type="dxa"/>
            <w:vAlign w:val="bottom"/>
            <w:shd w:val="clear" w:color="auto" w:fill="EAEBEC"/>
          </w:tcPr>
          <w:p>
            <w:pPr>
              <w:spacing w:after="0"/>
              <w:rPr>
                <w:sz w:val="13"/>
                <w:szCs w:val="13"/>
                <w:color w:val="auto"/>
              </w:rPr>
            </w:pPr>
          </w:p>
        </w:tc>
        <w:tc>
          <w:tcPr>
            <w:tcW w:w="980" w:type="dxa"/>
            <w:vAlign w:val="bottom"/>
            <w:gridSpan w:val="2"/>
            <w:vMerge w:val="continue"/>
            <w:shd w:val="clear" w:color="auto" w:fill="EAEBEC"/>
          </w:tcPr>
          <w:p>
            <w:pPr>
              <w:spacing w:after="0"/>
              <w:rPr>
                <w:sz w:val="13"/>
                <w:szCs w:val="13"/>
                <w:color w:val="auto"/>
              </w:rPr>
            </w:pPr>
          </w:p>
        </w:tc>
        <w:tc>
          <w:tcPr>
            <w:tcW w:w="4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40" w:type="dxa"/>
            <w:vAlign w:val="bottom"/>
            <w:gridSpan w:val="3"/>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00" w:type="dxa"/>
            <w:vAlign w:val="bottom"/>
            <w:shd w:val="clear" w:color="auto" w:fill="EAEBEC"/>
          </w:tcPr>
          <w:p>
            <w:pPr>
              <w:spacing w:after="0"/>
              <w:rPr>
                <w:sz w:val="13"/>
                <w:szCs w:val="13"/>
                <w:color w:val="auto"/>
              </w:rPr>
            </w:pPr>
          </w:p>
        </w:tc>
        <w:tc>
          <w:tcPr>
            <w:tcW w:w="1400" w:type="dxa"/>
            <w:vAlign w:val="bottom"/>
            <w:gridSpan w:val="7"/>
            <w:vMerge w:val="continue"/>
            <w:shd w:val="clear" w:color="auto" w:fill="EAEBEC"/>
          </w:tcPr>
          <w:p>
            <w:pPr>
              <w:spacing w:after="0"/>
              <w:rPr>
                <w:sz w:val="13"/>
                <w:szCs w:val="13"/>
                <w:color w:val="auto"/>
              </w:rPr>
            </w:pPr>
          </w:p>
        </w:tc>
        <w:tc>
          <w:tcPr>
            <w:tcW w:w="140" w:type="dxa"/>
            <w:vAlign w:val="bottom"/>
            <w:shd w:val="clear" w:color="auto" w:fill="EAEBEC"/>
          </w:tcPr>
          <w:p>
            <w:pPr>
              <w:spacing w:after="0"/>
              <w:rPr>
                <w:sz w:val="13"/>
                <w:szCs w:val="13"/>
                <w:color w:val="auto"/>
              </w:rPr>
            </w:pPr>
          </w:p>
        </w:tc>
        <w:tc>
          <w:tcPr>
            <w:tcW w:w="1260" w:type="dxa"/>
            <w:vAlign w:val="bottom"/>
            <w:vMerge w:val="continue"/>
            <w:shd w:val="clear" w:color="auto" w:fill="EAEBEC"/>
          </w:tcPr>
          <w:p>
            <w:pPr>
              <w:spacing w:after="0"/>
              <w:rPr>
                <w:sz w:val="13"/>
                <w:szCs w:val="13"/>
                <w:color w:val="auto"/>
              </w:rPr>
            </w:pPr>
          </w:p>
        </w:tc>
        <w:tc>
          <w:tcPr>
            <w:tcW w:w="0" w:type="dxa"/>
            <w:vAlign w:val="bottom"/>
            <w:shd w:val="clear" w:color="auto" w:fill="EAEBEC"/>
          </w:tcPr>
          <w:p>
            <w:pPr>
              <w:spacing w:after="0"/>
              <w:rPr>
                <w:sz w:val="13"/>
                <w:szCs w:val="13"/>
                <w:color w:val="auto"/>
              </w:rPr>
            </w:pPr>
          </w:p>
        </w:tc>
        <w:tc>
          <w:tcPr>
            <w:tcW w:w="6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00" w:type="dxa"/>
            <w:vAlign w:val="bottom"/>
            <w:vMerge w:val="continue"/>
            <w:shd w:val="clear" w:color="auto" w:fill="EAEBEC"/>
          </w:tcPr>
          <w:p>
            <w:pPr>
              <w:spacing w:after="0"/>
              <w:rPr>
                <w:sz w:val="13"/>
                <w:szCs w:val="13"/>
                <w:color w:val="auto"/>
              </w:rPr>
            </w:pPr>
          </w:p>
        </w:tc>
        <w:tc>
          <w:tcPr>
            <w:tcW w:w="60" w:type="dxa"/>
            <w:vAlign w:val="bottom"/>
            <w:shd w:val="clear" w:color="auto" w:fill="EAEBE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520" w:type="dxa"/>
            <w:vAlign w:val="bottom"/>
            <w:gridSpan w:val="5"/>
          </w:tcPr>
          <w:p>
            <w:pPr>
              <w:spacing w:after="0" w:line="121" w:lineRule="exact"/>
              <w:rPr>
                <w:sz w:val="20"/>
                <w:szCs w:val="20"/>
                <w:color w:val="auto"/>
              </w:rPr>
            </w:pPr>
            <w:r>
              <w:rPr>
                <w:rFonts w:ascii="Times New Roman" w:cs="Times New Roman" w:eastAsia="Times New Roman" w:hAnsi="Times New Roman"/>
                <w:sz w:val="12"/>
                <w:szCs w:val="12"/>
                <w:color w:val="231F20"/>
              </w:rPr>
              <w:t>Gains on derivatives reclassified to</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7"/>
            <w:vMerge w:val="restart"/>
          </w:tcPr>
          <w:p>
            <w:pPr>
              <w:jc w:val="right"/>
              <w:ind w:right="140"/>
              <w:spacing w:after="0"/>
              <w:rPr>
                <w:sz w:val="20"/>
                <w:szCs w:val="20"/>
                <w:color w:val="auto"/>
              </w:rPr>
            </w:pPr>
            <w:r>
              <w:rPr>
                <w:rFonts w:ascii="Times New Roman" w:cs="Times New Roman" w:eastAsia="Times New Roman" w:hAnsi="Times New Roman"/>
                <w:sz w:val="12"/>
                <w:szCs w:val="12"/>
                <w:color w:val="231F20"/>
              </w:rPr>
              <w:t>—</w:t>
            </w:r>
          </w:p>
        </w:tc>
        <w:tc>
          <w:tcPr>
            <w:tcW w:w="140" w:type="dxa"/>
            <w:vAlign w:val="bottom"/>
          </w:tcPr>
          <w:p>
            <w:pPr>
              <w:spacing w:after="0"/>
              <w:rPr>
                <w:sz w:val="10"/>
                <w:szCs w:val="10"/>
                <w:color w:val="auto"/>
              </w:rPr>
            </w:pPr>
          </w:p>
        </w:tc>
        <w:tc>
          <w:tcPr>
            <w:tcW w:w="13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2"/>
                <w:szCs w:val="12"/>
                <w:color w:val="231F20"/>
              </w:rPr>
              <w:t>(367)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231F20"/>
              </w:rPr>
              <w:t>(367)</w:t>
            </w:r>
          </w:p>
        </w:tc>
        <w:tc>
          <w:tcPr>
            <w:tcW w:w="0" w:type="dxa"/>
            <w:vAlign w:val="bottom"/>
          </w:tcPr>
          <w:p>
            <w:pPr>
              <w:spacing w:after="0"/>
              <w:rPr>
                <w:sz w:val="1"/>
                <w:szCs w:val="1"/>
                <w:color w:val="auto"/>
              </w:rPr>
            </w:pPr>
          </w:p>
        </w:tc>
      </w:tr>
      <w:tr>
        <w:trPr>
          <w:trHeight w:val="155"/>
        </w:trPr>
        <w:tc>
          <w:tcPr>
            <w:tcW w:w="452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231F20"/>
              </w:rPr>
              <w:t>income, net of tax of $(120) (Note 8)</w:t>
            </w:r>
          </w:p>
        </w:tc>
        <w:tc>
          <w:tcPr>
            <w:tcW w:w="10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7"/>
            <w:vMerge w:val="continue"/>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520" w:type="dxa"/>
            <w:vAlign w:val="bottom"/>
            <w:gridSpan w:val="5"/>
            <w:shd w:val="clear" w:color="auto" w:fill="EAEBEC"/>
          </w:tcPr>
          <w:p>
            <w:pPr>
              <w:spacing w:after="0" w:line="124" w:lineRule="exact"/>
              <w:rPr>
                <w:sz w:val="20"/>
                <w:szCs w:val="20"/>
                <w:color w:val="auto"/>
              </w:rPr>
            </w:pPr>
            <w:r>
              <w:rPr>
                <w:rFonts w:ascii="Times New Roman" w:cs="Times New Roman" w:eastAsia="Times New Roman" w:hAnsi="Times New Roman"/>
                <w:sz w:val="12"/>
                <w:szCs w:val="12"/>
                <w:color w:val="231F20"/>
              </w:rPr>
              <w:t>Issuance of common stock,</w:t>
            </w:r>
          </w:p>
        </w:tc>
        <w:tc>
          <w:tcPr>
            <w:tcW w:w="1040" w:type="dxa"/>
            <w:vAlign w:val="bottom"/>
            <w:vMerge w:val="restart"/>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2,818</w:t>
            </w:r>
          </w:p>
        </w:tc>
        <w:tc>
          <w:tcPr>
            <w:tcW w:w="4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0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2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80" w:type="dxa"/>
            <w:vAlign w:val="bottom"/>
            <w:shd w:val="clear" w:color="auto" w:fill="EAEBEC"/>
          </w:tcPr>
          <w:p>
            <w:pPr>
              <w:spacing w:after="0"/>
              <w:rPr>
                <w:sz w:val="10"/>
                <w:szCs w:val="10"/>
                <w:color w:val="auto"/>
              </w:rPr>
            </w:pPr>
          </w:p>
        </w:tc>
        <w:tc>
          <w:tcPr>
            <w:tcW w:w="960" w:type="dxa"/>
            <w:vAlign w:val="bottom"/>
            <w:vMerge w:val="restart"/>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3</w:t>
            </w:r>
          </w:p>
        </w:tc>
        <w:tc>
          <w:tcPr>
            <w:tcW w:w="20" w:type="dxa"/>
            <w:vAlign w:val="bottom"/>
            <w:shd w:val="clear" w:color="auto" w:fill="EAEBEC"/>
          </w:tcPr>
          <w:p>
            <w:pPr>
              <w:spacing w:after="0"/>
              <w:rPr>
                <w:sz w:val="10"/>
                <w:szCs w:val="10"/>
                <w:color w:val="auto"/>
              </w:rPr>
            </w:pPr>
          </w:p>
        </w:tc>
        <w:tc>
          <w:tcPr>
            <w:tcW w:w="4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40" w:type="dxa"/>
            <w:vAlign w:val="bottom"/>
            <w:gridSpan w:val="3"/>
            <w:vMerge w:val="restart"/>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(5,440)</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00" w:type="dxa"/>
            <w:vAlign w:val="bottom"/>
            <w:shd w:val="clear" w:color="auto" w:fill="EAEBEC"/>
          </w:tcPr>
          <w:p>
            <w:pPr>
              <w:spacing w:after="0"/>
              <w:rPr>
                <w:sz w:val="10"/>
                <w:szCs w:val="10"/>
                <w:color w:val="auto"/>
              </w:rPr>
            </w:pPr>
          </w:p>
        </w:tc>
        <w:tc>
          <w:tcPr>
            <w:tcW w:w="1400" w:type="dxa"/>
            <w:vAlign w:val="bottom"/>
            <w:gridSpan w:val="7"/>
            <w:vMerge w:val="restart"/>
            <w:shd w:val="clear" w:color="auto" w:fill="EAEBEC"/>
          </w:tcPr>
          <w:p>
            <w:pPr>
              <w:jc w:val="right"/>
              <w:ind w:right="140"/>
              <w:spacing w:after="0"/>
              <w:rPr>
                <w:sz w:val="20"/>
                <w:szCs w:val="20"/>
                <w:color w:val="auto"/>
              </w:rPr>
            </w:pPr>
            <w:r>
              <w:rPr>
                <w:rFonts w:ascii="Times New Roman" w:cs="Times New Roman" w:eastAsia="Times New Roman" w:hAnsi="Times New Roman"/>
                <w:sz w:val="12"/>
                <w:szCs w:val="12"/>
                <w:color w:val="231F20"/>
              </w:rPr>
              <w:t>—</w:t>
            </w:r>
          </w:p>
        </w:tc>
        <w:tc>
          <w:tcPr>
            <w:tcW w:w="140" w:type="dxa"/>
            <w:vAlign w:val="bottom"/>
            <w:shd w:val="clear" w:color="auto" w:fill="EAEBEC"/>
          </w:tcPr>
          <w:p>
            <w:pPr>
              <w:spacing w:after="0"/>
              <w:rPr>
                <w:sz w:val="10"/>
                <w:szCs w:val="10"/>
                <w:color w:val="auto"/>
              </w:rPr>
            </w:pPr>
          </w:p>
        </w:tc>
        <w:tc>
          <w:tcPr>
            <w:tcW w:w="1360" w:type="dxa"/>
            <w:vAlign w:val="bottom"/>
            <w:gridSpan w:val="5"/>
            <w:vMerge w:val="restart"/>
            <w:shd w:val="clear" w:color="auto" w:fill="EAEBE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6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(5,437)</w:t>
            </w:r>
          </w:p>
        </w:tc>
        <w:tc>
          <w:tcPr>
            <w:tcW w:w="0" w:type="dxa"/>
            <w:vAlign w:val="bottom"/>
          </w:tcPr>
          <w:p>
            <w:pPr>
              <w:spacing w:after="0"/>
              <w:rPr>
                <w:sz w:val="1"/>
                <w:szCs w:val="1"/>
                <w:color w:val="auto"/>
              </w:rPr>
            </w:pPr>
          </w:p>
        </w:tc>
      </w:tr>
      <w:tr>
        <w:trPr>
          <w:trHeight w:val="158"/>
        </w:trPr>
        <w:tc>
          <w:tcPr>
            <w:tcW w:w="4520" w:type="dxa"/>
            <w:vAlign w:val="bottom"/>
            <w:gridSpan w:val="5"/>
            <w:shd w:val="clear" w:color="auto" w:fill="EAEBEC"/>
          </w:tcPr>
          <w:p>
            <w:pPr>
              <w:ind w:left="100"/>
              <w:spacing w:after="0"/>
              <w:rPr>
                <w:sz w:val="20"/>
                <w:szCs w:val="20"/>
                <w:color w:val="auto"/>
              </w:rPr>
            </w:pPr>
            <w:r>
              <w:rPr>
                <w:rFonts w:ascii="Times New Roman" w:cs="Times New Roman" w:eastAsia="Times New Roman" w:hAnsi="Times New Roman"/>
                <w:sz w:val="12"/>
                <w:szCs w:val="12"/>
                <w:color w:val="231F20"/>
              </w:rPr>
              <w:t>net of tax withholdings</w:t>
            </w:r>
          </w:p>
        </w:tc>
        <w:tc>
          <w:tcPr>
            <w:tcW w:w="1040" w:type="dxa"/>
            <w:vAlign w:val="bottom"/>
            <w:vMerge w:val="continue"/>
            <w:shd w:val="clear" w:color="auto" w:fill="EAEBEC"/>
          </w:tcPr>
          <w:p>
            <w:pPr>
              <w:spacing w:after="0"/>
              <w:rPr>
                <w:sz w:val="13"/>
                <w:szCs w:val="13"/>
                <w:color w:val="auto"/>
              </w:rPr>
            </w:pPr>
          </w:p>
        </w:tc>
        <w:tc>
          <w:tcPr>
            <w:tcW w:w="4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00" w:type="dxa"/>
            <w:vAlign w:val="bottom"/>
            <w:gridSpan w:val="2"/>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20" w:type="dxa"/>
            <w:vAlign w:val="bottom"/>
            <w:gridSpan w:val="2"/>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80" w:type="dxa"/>
            <w:vAlign w:val="bottom"/>
            <w:shd w:val="clear" w:color="auto" w:fill="EAEBEC"/>
          </w:tcPr>
          <w:p>
            <w:pPr>
              <w:spacing w:after="0"/>
              <w:rPr>
                <w:sz w:val="13"/>
                <w:szCs w:val="13"/>
                <w:color w:val="auto"/>
              </w:rPr>
            </w:pPr>
          </w:p>
        </w:tc>
        <w:tc>
          <w:tcPr>
            <w:tcW w:w="960" w:type="dxa"/>
            <w:vAlign w:val="bottom"/>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4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40" w:type="dxa"/>
            <w:vAlign w:val="bottom"/>
            <w:gridSpan w:val="3"/>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00" w:type="dxa"/>
            <w:vAlign w:val="bottom"/>
            <w:shd w:val="clear" w:color="auto" w:fill="EAEBEC"/>
          </w:tcPr>
          <w:p>
            <w:pPr>
              <w:spacing w:after="0"/>
              <w:rPr>
                <w:sz w:val="13"/>
                <w:szCs w:val="13"/>
                <w:color w:val="auto"/>
              </w:rPr>
            </w:pPr>
          </w:p>
        </w:tc>
        <w:tc>
          <w:tcPr>
            <w:tcW w:w="1400" w:type="dxa"/>
            <w:vAlign w:val="bottom"/>
            <w:gridSpan w:val="7"/>
            <w:vMerge w:val="continue"/>
            <w:shd w:val="clear" w:color="auto" w:fill="EAEBEC"/>
          </w:tcPr>
          <w:p>
            <w:pPr>
              <w:spacing w:after="0"/>
              <w:rPr>
                <w:sz w:val="13"/>
                <w:szCs w:val="13"/>
                <w:color w:val="auto"/>
              </w:rPr>
            </w:pPr>
          </w:p>
        </w:tc>
        <w:tc>
          <w:tcPr>
            <w:tcW w:w="140" w:type="dxa"/>
            <w:vAlign w:val="bottom"/>
            <w:shd w:val="clear" w:color="auto" w:fill="EAEBEC"/>
          </w:tcPr>
          <w:p>
            <w:pPr>
              <w:spacing w:after="0"/>
              <w:rPr>
                <w:sz w:val="13"/>
                <w:szCs w:val="13"/>
                <w:color w:val="auto"/>
              </w:rPr>
            </w:pPr>
          </w:p>
        </w:tc>
        <w:tc>
          <w:tcPr>
            <w:tcW w:w="1360" w:type="dxa"/>
            <w:vAlign w:val="bottom"/>
            <w:gridSpan w:val="5"/>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60" w:type="dxa"/>
            <w:vAlign w:val="bottom"/>
            <w:gridSpan w:val="2"/>
            <w:vMerge w:val="continue"/>
            <w:shd w:val="clear" w:color="auto" w:fill="EAEBE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40" w:type="dxa"/>
            <w:vAlign w:val="bottom"/>
            <w:tcBorders>
              <w:bottom w:val="single" w:sz="8" w:color="EAEBEC"/>
            </w:tcBorders>
          </w:tcPr>
          <w:p>
            <w:pPr>
              <w:spacing w:after="0" w:line="137" w:lineRule="exact"/>
              <w:rPr>
                <w:sz w:val="20"/>
                <w:szCs w:val="20"/>
                <w:color w:val="auto"/>
              </w:rPr>
            </w:pPr>
            <w:r>
              <w:rPr>
                <w:rFonts w:ascii="Times New Roman" w:cs="Times New Roman" w:eastAsia="Times New Roman" w:hAnsi="Times New Roman"/>
                <w:sz w:val="12"/>
                <w:szCs w:val="12"/>
                <w:b w:val="1"/>
                <w:bCs w:val="1"/>
                <w:color w:val="231F20"/>
              </w:rPr>
              <w:t>Balance at February 3, 2024</w:t>
            </w:r>
          </w:p>
        </w:tc>
        <w:tc>
          <w:tcPr>
            <w:tcW w:w="60" w:type="dxa"/>
            <w:vAlign w:val="bottom"/>
            <w:tcBorders>
              <w:bottom w:val="single" w:sz="8" w:color="231F20"/>
            </w:tcBorders>
            <w:gridSpan w:val="3"/>
          </w:tcPr>
          <w:p>
            <w:pPr>
              <w:spacing w:after="0"/>
              <w:rPr>
                <w:sz w:val="15"/>
                <w:szCs w:val="15"/>
                <w:color w:val="auto"/>
              </w:rPr>
            </w:pPr>
          </w:p>
        </w:tc>
        <w:tc>
          <w:tcPr>
            <w:tcW w:w="20" w:type="dxa"/>
            <w:vAlign w:val="bottom"/>
            <w:tcBorders>
              <w:top w:val="single" w:sz="8" w:color="231F20"/>
              <w:bottom w:val="single" w:sz="8" w:color="231F20"/>
            </w:tcBorders>
          </w:tcPr>
          <w:p>
            <w:pPr>
              <w:spacing w:after="0"/>
              <w:rPr>
                <w:sz w:val="15"/>
                <w:szCs w:val="15"/>
                <w:color w:val="auto"/>
              </w:rPr>
            </w:pPr>
          </w:p>
        </w:tc>
        <w:tc>
          <w:tcPr>
            <w:tcW w:w="104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2"/>
                <w:szCs w:val="12"/>
                <w:color w:val="231F20"/>
              </w:rPr>
              <w:t>231,156</w:t>
            </w:r>
          </w:p>
        </w:tc>
        <w:tc>
          <w:tcPr>
            <w:tcW w:w="40" w:type="dxa"/>
            <w:vAlign w:val="bottom"/>
            <w:tcBorders>
              <w:bottom w:val="single" w:sz="8" w:color="EAEBEC"/>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110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12"/>
                <w:szCs w:val="12"/>
                <w:color w:val="231F20"/>
              </w:rPr>
              <w:t>37,791</w:t>
            </w:r>
          </w:p>
        </w:tc>
        <w:tc>
          <w:tcPr>
            <w:tcW w:w="20" w:type="dxa"/>
            <w:vAlign w:val="bottom"/>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112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12"/>
                <w:szCs w:val="12"/>
                <w:color w:val="231F20"/>
              </w:rPr>
              <w:t>37,791</w:t>
            </w:r>
          </w:p>
        </w:tc>
        <w:tc>
          <w:tcPr>
            <w:tcW w:w="20" w:type="dxa"/>
            <w:vAlign w:val="bottom"/>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200" w:type="dxa"/>
            <w:vAlign w:val="bottom"/>
            <w:tcBorders>
              <w:top w:val="single" w:sz="8" w:color="231F20"/>
              <w:bottom w:val="single" w:sz="8" w:color="231F20"/>
            </w:tcBorders>
            <w:gridSpan w:val="2"/>
          </w:tcPr>
          <w:p>
            <w:pPr>
              <w:jc w:val="right"/>
              <w:ind w:right="154"/>
              <w:spacing w:after="0"/>
              <w:rPr>
                <w:sz w:val="20"/>
                <w:szCs w:val="20"/>
                <w:color w:val="auto"/>
              </w:rPr>
            </w:pPr>
            <w:r>
              <w:rPr>
                <w:rFonts w:ascii="Times New Roman" w:cs="Times New Roman" w:eastAsia="Times New Roman" w:hAnsi="Times New Roman"/>
                <w:sz w:val="5"/>
                <w:szCs w:val="5"/>
                <w:color w:val="231F20"/>
                <w:w w:val="78"/>
              </w:rPr>
              <w:t>$</w:t>
            </w:r>
          </w:p>
        </w:tc>
        <w:tc>
          <w:tcPr>
            <w:tcW w:w="9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2"/>
                <w:szCs w:val="12"/>
                <w:color w:val="231F20"/>
              </w:rPr>
              <w:t>269</w:t>
            </w:r>
          </w:p>
        </w:tc>
        <w:tc>
          <w:tcPr>
            <w:tcW w:w="20" w:type="dxa"/>
            <w:vAlign w:val="bottom"/>
          </w:tcPr>
          <w:p>
            <w:pPr>
              <w:spacing w:after="0"/>
              <w:rPr>
                <w:sz w:val="15"/>
                <w:szCs w:val="15"/>
                <w:color w:val="auto"/>
              </w:rPr>
            </w:pPr>
          </w:p>
        </w:tc>
        <w:tc>
          <w:tcPr>
            <w:tcW w:w="40" w:type="dxa"/>
            <w:vAlign w:val="bottom"/>
            <w:tcBorders>
              <w:bottom w:val="single" w:sz="8" w:color="EAEBEC"/>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4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1"/>
                <w:szCs w:val="1"/>
                <w:color w:val="231F20"/>
                <w:w w:val="4294967286"/>
              </w:rPr>
              <w:t>$</w:t>
            </w:r>
          </w:p>
        </w:tc>
        <w:tc>
          <w:tcPr>
            <w:tcW w:w="10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2"/>
                <w:szCs w:val="12"/>
                <w:color w:val="231F20"/>
              </w:rPr>
              <w:t>2,229,582</w:t>
            </w:r>
          </w:p>
        </w:tc>
        <w:tc>
          <w:tcPr>
            <w:tcW w:w="20" w:type="dxa"/>
            <w:vAlign w:val="bottom"/>
          </w:tcPr>
          <w:p>
            <w:pPr>
              <w:spacing w:after="0"/>
              <w:rPr>
                <w:sz w:val="15"/>
                <w:szCs w:val="15"/>
                <w:color w:val="auto"/>
              </w:rPr>
            </w:pPr>
          </w:p>
        </w:tc>
        <w:tc>
          <w:tcPr>
            <w:tcW w:w="40" w:type="dxa"/>
            <w:vAlign w:val="bottom"/>
            <w:tcBorders>
              <w:bottom w:val="single" w:sz="8" w:color="EAEBEC"/>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140" w:type="dxa"/>
            <w:vAlign w:val="bottom"/>
            <w:tcBorders>
              <w:top w:val="single" w:sz="8" w:color="231F20"/>
              <w:bottom w:val="single" w:sz="8" w:color="231F20"/>
            </w:tcBorders>
            <w:gridSpan w:val="3"/>
          </w:tcPr>
          <w:p>
            <w:pPr>
              <w:jc w:val="right"/>
              <w:ind w:right="77"/>
              <w:spacing w:after="0"/>
              <w:rPr>
                <w:sz w:val="20"/>
                <w:szCs w:val="20"/>
                <w:color w:val="auto"/>
              </w:rPr>
            </w:pPr>
            <w:r>
              <w:rPr>
                <w:rFonts w:ascii="Times New Roman" w:cs="Times New Roman" w:eastAsia="Times New Roman" w:hAnsi="Times New Roman"/>
                <w:sz w:val="5"/>
                <w:szCs w:val="5"/>
                <w:color w:val="231F20"/>
                <w:w w:val="78"/>
              </w:rPr>
              <w:t>$</w:t>
            </w:r>
          </w:p>
        </w:tc>
        <w:tc>
          <w:tcPr>
            <w:tcW w:w="128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2"/>
                <w:szCs w:val="12"/>
                <w:color w:val="231F20"/>
              </w:rPr>
              <w:t>(1,047,243)</w:t>
            </w:r>
          </w:p>
        </w:tc>
        <w:tc>
          <w:tcPr>
            <w:tcW w:w="20" w:type="dxa"/>
            <w:vAlign w:val="bottom"/>
            <w:tcBorders>
              <w:top w:val="single" w:sz="8" w:color="231F20"/>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20" w:type="dxa"/>
            <w:vAlign w:val="bottom"/>
            <w:tcBorders>
              <w:top w:val="single" w:sz="8" w:color="231F20"/>
              <w:bottom w:val="single" w:sz="8" w:color="231F20"/>
            </w:tcBorders>
          </w:tcPr>
          <w:p>
            <w:pPr>
              <w:spacing w:after="0"/>
              <w:rPr>
                <w:sz w:val="15"/>
                <w:szCs w:val="15"/>
                <w:color w:val="auto"/>
              </w:rPr>
            </w:pPr>
          </w:p>
        </w:tc>
        <w:tc>
          <w:tcPr>
            <w:tcW w:w="20" w:type="dxa"/>
            <w:vAlign w:val="bottom"/>
            <w:tcBorders>
              <w:top w:val="single" w:sz="8" w:color="231F20"/>
              <w:bottom w:val="single" w:sz="8" w:color="231F20"/>
            </w:tcBorders>
          </w:tcPr>
          <w:p>
            <w:pPr>
              <w:spacing w:after="0"/>
              <w:rPr>
                <w:sz w:val="15"/>
                <w:szCs w:val="15"/>
                <w:color w:val="auto"/>
              </w:rPr>
            </w:pPr>
          </w:p>
        </w:tc>
        <w:tc>
          <w:tcPr>
            <w:tcW w:w="140" w:type="dxa"/>
            <w:vAlign w:val="bottom"/>
            <w:tcBorders>
              <w:top w:val="single" w:sz="8" w:color="231F20"/>
              <w:bottom w:val="single" w:sz="8" w:color="231F20"/>
            </w:tcBorders>
          </w:tcPr>
          <w:p>
            <w:pPr>
              <w:jc w:val="right"/>
              <w:ind w:right="117"/>
              <w:spacing w:after="0"/>
              <w:rPr>
                <w:sz w:val="20"/>
                <w:szCs w:val="20"/>
                <w:color w:val="auto"/>
              </w:rPr>
            </w:pPr>
            <w:r>
              <w:rPr>
                <w:rFonts w:ascii="Times New Roman" w:cs="Times New Roman" w:eastAsia="Times New Roman" w:hAnsi="Times New Roman"/>
                <w:sz w:val="5"/>
                <w:szCs w:val="5"/>
                <w:color w:val="231F20"/>
                <w:w w:val="78"/>
              </w:rPr>
              <w:t>$</w:t>
            </w:r>
          </w:p>
        </w:tc>
        <w:tc>
          <w:tcPr>
            <w:tcW w:w="12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2"/>
                <w:szCs w:val="12"/>
                <w:color w:val="231F20"/>
              </w:rPr>
              <w:t>1,821</w:t>
            </w:r>
          </w:p>
        </w:tc>
        <w:tc>
          <w:tcPr>
            <w:tcW w:w="0" w:type="dxa"/>
            <w:vAlign w:val="bottom"/>
            <w:tcBorders>
              <w:top w:val="single" w:sz="8" w:color="231F20"/>
            </w:tcBorders>
          </w:tcPr>
          <w:p>
            <w:pPr>
              <w:spacing w:after="0"/>
              <w:rPr>
                <w:sz w:val="15"/>
                <w:szCs w:val="15"/>
                <w:color w:val="auto"/>
              </w:rPr>
            </w:pPr>
          </w:p>
        </w:tc>
        <w:tc>
          <w:tcPr>
            <w:tcW w:w="60" w:type="dxa"/>
            <w:vAlign w:val="bottom"/>
            <w:tcBorders>
              <w:bottom w:val="single" w:sz="8" w:color="EAEBEC"/>
            </w:tcBorders>
          </w:tcPr>
          <w:p>
            <w:pPr>
              <w:spacing w:after="0"/>
              <w:rPr>
                <w:sz w:val="15"/>
                <w:szCs w:val="15"/>
                <w:color w:val="auto"/>
              </w:rPr>
            </w:pPr>
          </w:p>
        </w:tc>
        <w:tc>
          <w:tcPr>
            <w:tcW w:w="20" w:type="dxa"/>
            <w:vAlign w:val="bottom"/>
            <w:tcBorders>
              <w:bottom w:val="single" w:sz="8" w:color="231F20"/>
            </w:tcBorders>
          </w:tcPr>
          <w:p>
            <w:pPr>
              <w:spacing w:after="0"/>
              <w:rPr>
                <w:sz w:val="15"/>
                <w:szCs w:val="15"/>
                <w:color w:val="auto"/>
              </w:rPr>
            </w:pPr>
          </w:p>
        </w:tc>
        <w:tc>
          <w:tcPr>
            <w:tcW w:w="20" w:type="dxa"/>
            <w:vAlign w:val="bottom"/>
            <w:tcBorders>
              <w:top w:val="single" w:sz="8" w:color="231F20"/>
              <w:bottom w:val="single" w:sz="8" w:color="231F20"/>
            </w:tcBorders>
          </w:tcPr>
          <w:p>
            <w:pPr>
              <w:spacing w:after="0"/>
              <w:rPr>
                <w:sz w:val="15"/>
                <w:szCs w:val="15"/>
                <w:color w:val="auto"/>
              </w:rPr>
            </w:pPr>
          </w:p>
        </w:tc>
        <w:tc>
          <w:tcPr>
            <w:tcW w:w="40" w:type="dxa"/>
            <w:vAlign w:val="bottom"/>
            <w:tcBorders>
              <w:top w:val="single" w:sz="8" w:color="231F20"/>
              <w:bottom w:val="single" w:sz="8" w:color="231F20"/>
            </w:tcBorders>
            <w:gridSpan w:val="2"/>
          </w:tcPr>
          <w:p>
            <w:pPr>
              <w:jc w:val="right"/>
              <w:spacing w:after="0"/>
              <w:rPr>
                <w:sz w:val="20"/>
                <w:szCs w:val="20"/>
                <w:color w:val="auto"/>
              </w:rPr>
            </w:pPr>
            <w:r>
              <w:rPr>
                <w:rFonts w:ascii="Times New Roman" w:cs="Times New Roman" w:eastAsia="Times New Roman" w:hAnsi="Times New Roman"/>
                <w:sz w:val="1"/>
                <w:szCs w:val="1"/>
                <w:color w:val="231F20"/>
                <w:w w:val="4294967286"/>
              </w:rPr>
              <w:t>$</w:t>
            </w:r>
          </w:p>
        </w:tc>
        <w:tc>
          <w:tcPr>
            <w:tcW w:w="11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12"/>
                <w:szCs w:val="12"/>
                <w:color w:val="231F20"/>
              </w:rPr>
              <w:t>1,184,429</w:t>
            </w:r>
          </w:p>
        </w:tc>
        <w:tc>
          <w:tcPr>
            <w:tcW w:w="60" w:type="dxa"/>
            <w:vAlign w:val="bottom"/>
            <w:tcBorders>
              <w:bottom w:val="single" w:sz="8" w:color="EAEBEC"/>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440" w:type="dxa"/>
            <w:vAlign w:val="bottom"/>
            <w:shd w:val="clear" w:color="auto" w:fill="EAEBEC"/>
          </w:tcPr>
          <w:p>
            <w:pPr>
              <w:spacing w:after="0" w:line="105" w:lineRule="exact"/>
              <w:rPr>
                <w:sz w:val="20"/>
                <w:szCs w:val="20"/>
                <w:color w:val="auto"/>
              </w:rPr>
            </w:pPr>
            <w:r>
              <w:rPr>
                <w:rFonts w:ascii="Times New Roman" w:cs="Times New Roman" w:eastAsia="Times New Roman" w:hAnsi="Times New Roman"/>
                <w:sz w:val="12"/>
                <w:szCs w:val="12"/>
                <w:color w:val="231F20"/>
              </w:rPr>
              <w:t>Equity-based compensation expense</w:t>
            </w:r>
          </w:p>
        </w:tc>
        <w:tc>
          <w:tcPr>
            <w:tcW w:w="80" w:type="dxa"/>
            <w:vAlign w:val="bottom"/>
            <w:gridSpan w:val="4"/>
            <w:shd w:val="clear" w:color="auto" w:fill="EAEBEC"/>
          </w:tcPr>
          <w:p>
            <w:pPr>
              <w:spacing w:after="0"/>
              <w:rPr>
                <w:sz w:val="9"/>
                <w:szCs w:val="9"/>
                <w:color w:val="auto"/>
              </w:rPr>
            </w:pPr>
          </w:p>
        </w:tc>
        <w:tc>
          <w:tcPr>
            <w:tcW w:w="1040" w:type="dxa"/>
            <w:vAlign w:val="bottom"/>
            <w:vMerge w:val="restart"/>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110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112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180" w:type="dxa"/>
            <w:vAlign w:val="bottom"/>
            <w:shd w:val="clear" w:color="auto" w:fill="EAEBEC"/>
          </w:tcPr>
          <w:p>
            <w:pPr>
              <w:spacing w:after="0"/>
              <w:rPr>
                <w:sz w:val="9"/>
                <w:szCs w:val="9"/>
                <w:color w:val="auto"/>
              </w:rPr>
            </w:pPr>
          </w:p>
        </w:tc>
        <w:tc>
          <w:tcPr>
            <w:tcW w:w="980" w:type="dxa"/>
            <w:vAlign w:val="bottom"/>
            <w:gridSpan w:val="2"/>
            <w:vMerge w:val="restart"/>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1080" w:type="dxa"/>
            <w:vAlign w:val="bottom"/>
            <w:vMerge w:val="restart"/>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50,188</w:t>
            </w:r>
          </w:p>
        </w:tc>
        <w:tc>
          <w:tcPr>
            <w:tcW w:w="20" w:type="dxa"/>
            <w:vAlign w:val="bottom"/>
            <w:shd w:val="clear" w:color="auto" w:fill="EAEBEC"/>
          </w:tcPr>
          <w:p>
            <w:pPr>
              <w:spacing w:after="0"/>
              <w:rPr>
                <w:sz w:val="9"/>
                <w:szCs w:val="9"/>
                <w:color w:val="auto"/>
              </w:rPr>
            </w:pPr>
          </w:p>
        </w:tc>
        <w:tc>
          <w:tcPr>
            <w:tcW w:w="4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100" w:type="dxa"/>
            <w:vAlign w:val="bottom"/>
            <w:shd w:val="clear" w:color="auto" w:fill="EAEBEC"/>
          </w:tcPr>
          <w:p>
            <w:pPr>
              <w:spacing w:after="0"/>
              <w:rPr>
                <w:sz w:val="9"/>
                <w:szCs w:val="9"/>
                <w:color w:val="auto"/>
              </w:rPr>
            </w:pPr>
          </w:p>
        </w:tc>
        <w:tc>
          <w:tcPr>
            <w:tcW w:w="1320" w:type="dxa"/>
            <w:vAlign w:val="bottom"/>
            <w:gridSpan w:val="3"/>
            <w:vMerge w:val="restart"/>
            <w:shd w:val="clear" w:color="auto" w:fill="EAEBEC"/>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140" w:type="dxa"/>
            <w:vAlign w:val="bottom"/>
            <w:shd w:val="clear" w:color="auto" w:fill="EAEBEC"/>
          </w:tcPr>
          <w:p>
            <w:pPr>
              <w:spacing w:after="0"/>
              <w:rPr>
                <w:sz w:val="9"/>
                <w:szCs w:val="9"/>
                <w:color w:val="auto"/>
              </w:rPr>
            </w:pPr>
          </w:p>
        </w:tc>
        <w:tc>
          <w:tcPr>
            <w:tcW w:w="1260" w:type="dxa"/>
            <w:vAlign w:val="bottom"/>
            <w:gridSpan w:val="2"/>
            <w:vMerge w:val="restart"/>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20" w:type="dxa"/>
            <w:vAlign w:val="bottom"/>
            <w:shd w:val="clear" w:color="auto" w:fill="EAEBEC"/>
          </w:tcPr>
          <w:p>
            <w:pPr>
              <w:spacing w:after="0"/>
              <w:rPr>
                <w:sz w:val="9"/>
                <w:szCs w:val="9"/>
                <w:color w:val="auto"/>
              </w:rPr>
            </w:pPr>
          </w:p>
        </w:tc>
        <w:tc>
          <w:tcPr>
            <w:tcW w:w="1100" w:type="dxa"/>
            <w:vAlign w:val="bottom"/>
            <w:vMerge w:val="restart"/>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50,188</w:t>
            </w:r>
          </w:p>
        </w:tc>
        <w:tc>
          <w:tcPr>
            <w:tcW w:w="60" w:type="dxa"/>
            <w:vAlign w:val="bottom"/>
            <w:shd w:val="clear" w:color="auto" w:fill="EAEBEC"/>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520" w:type="dxa"/>
            <w:vAlign w:val="bottom"/>
            <w:gridSpan w:val="5"/>
            <w:shd w:val="clear" w:color="auto" w:fill="EAEBEC"/>
          </w:tcPr>
          <w:p>
            <w:pPr>
              <w:ind w:left="100"/>
              <w:spacing w:after="0"/>
              <w:rPr>
                <w:sz w:val="20"/>
                <w:szCs w:val="20"/>
                <w:color w:val="auto"/>
              </w:rPr>
            </w:pPr>
            <w:r>
              <w:rPr>
                <w:rFonts w:ascii="Times New Roman" w:cs="Times New Roman" w:eastAsia="Times New Roman" w:hAnsi="Times New Roman"/>
                <w:sz w:val="12"/>
                <w:szCs w:val="12"/>
                <w:color w:val="231F20"/>
              </w:rPr>
              <w:t>(Note 11)</w:t>
            </w:r>
          </w:p>
        </w:tc>
        <w:tc>
          <w:tcPr>
            <w:tcW w:w="1040" w:type="dxa"/>
            <w:vAlign w:val="bottom"/>
            <w:vMerge w:val="continue"/>
            <w:shd w:val="clear" w:color="auto" w:fill="EAEBEC"/>
          </w:tcPr>
          <w:p>
            <w:pPr>
              <w:spacing w:after="0"/>
              <w:rPr>
                <w:sz w:val="13"/>
                <w:szCs w:val="13"/>
                <w:color w:val="auto"/>
              </w:rPr>
            </w:pPr>
          </w:p>
        </w:tc>
        <w:tc>
          <w:tcPr>
            <w:tcW w:w="4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00" w:type="dxa"/>
            <w:vAlign w:val="bottom"/>
            <w:gridSpan w:val="2"/>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20" w:type="dxa"/>
            <w:vAlign w:val="bottom"/>
            <w:gridSpan w:val="2"/>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80" w:type="dxa"/>
            <w:vAlign w:val="bottom"/>
            <w:shd w:val="clear" w:color="auto" w:fill="EAEBEC"/>
          </w:tcPr>
          <w:p>
            <w:pPr>
              <w:spacing w:after="0"/>
              <w:rPr>
                <w:sz w:val="13"/>
                <w:szCs w:val="13"/>
                <w:color w:val="auto"/>
              </w:rPr>
            </w:pPr>
          </w:p>
        </w:tc>
        <w:tc>
          <w:tcPr>
            <w:tcW w:w="980" w:type="dxa"/>
            <w:vAlign w:val="bottom"/>
            <w:gridSpan w:val="2"/>
            <w:vMerge w:val="continue"/>
            <w:shd w:val="clear" w:color="auto" w:fill="EAEBEC"/>
          </w:tcPr>
          <w:p>
            <w:pPr>
              <w:spacing w:after="0"/>
              <w:rPr>
                <w:sz w:val="13"/>
                <w:szCs w:val="13"/>
                <w:color w:val="auto"/>
              </w:rPr>
            </w:pPr>
          </w:p>
        </w:tc>
        <w:tc>
          <w:tcPr>
            <w:tcW w:w="4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080" w:type="dxa"/>
            <w:vAlign w:val="bottom"/>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4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00" w:type="dxa"/>
            <w:vAlign w:val="bottom"/>
            <w:shd w:val="clear" w:color="auto" w:fill="EAEBEC"/>
          </w:tcPr>
          <w:p>
            <w:pPr>
              <w:spacing w:after="0"/>
              <w:rPr>
                <w:sz w:val="13"/>
                <w:szCs w:val="13"/>
                <w:color w:val="auto"/>
              </w:rPr>
            </w:pPr>
          </w:p>
        </w:tc>
        <w:tc>
          <w:tcPr>
            <w:tcW w:w="1320" w:type="dxa"/>
            <w:vAlign w:val="bottom"/>
            <w:gridSpan w:val="3"/>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40" w:type="dxa"/>
            <w:vAlign w:val="bottom"/>
            <w:shd w:val="clear" w:color="auto" w:fill="EAEBEC"/>
          </w:tcPr>
          <w:p>
            <w:pPr>
              <w:spacing w:after="0"/>
              <w:rPr>
                <w:sz w:val="13"/>
                <w:szCs w:val="13"/>
                <w:color w:val="auto"/>
              </w:rPr>
            </w:pPr>
          </w:p>
        </w:tc>
        <w:tc>
          <w:tcPr>
            <w:tcW w:w="1260" w:type="dxa"/>
            <w:vAlign w:val="bottom"/>
            <w:gridSpan w:val="2"/>
            <w:vMerge w:val="continue"/>
            <w:shd w:val="clear" w:color="auto" w:fill="EAEBEC"/>
          </w:tcPr>
          <w:p>
            <w:pPr>
              <w:spacing w:after="0"/>
              <w:rPr>
                <w:sz w:val="13"/>
                <w:szCs w:val="13"/>
                <w:color w:val="auto"/>
              </w:rPr>
            </w:pPr>
          </w:p>
        </w:tc>
        <w:tc>
          <w:tcPr>
            <w:tcW w:w="6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00" w:type="dxa"/>
            <w:vAlign w:val="bottom"/>
            <w:vMerge w:val="continue"/>
            <w:shd w:val="clear" w:color="auto" w:fill="EAEBEC"/>
          </w:tcPr>
          <w:p>
            <w:pPr>
              <w:spacing w:after="0"/>
              <w:rPr>
                <w:sz w:val="13"/>
                <w:szCs w:val="13"/>
                <w:color w:val="auto"/>
              </w:rPr>
            </w:pPr>
          </w:p>
        </w:tc>
        <w:tc>
          <w:tcPr>
            <w:tcW w:w="60" w:type="dxa"/>
            <w:vAlign w:val="bottom"/>
            <w:shd w:val="clear" w:color="auto" w:fill="EAEBEC"/>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20" w:type="dxa"/>
            <w:vAlign w:val="bottom"/>
            <w:gridSpan w:val="5"/>
          </w:tcPr>
          <w:p>
            <w:pPr>
              <w:spacing w:after="0"/>
              <w:rPr>
                <w:sz w:val="20"/>
                <w:szCs w:val="20"/>
                <w:color w:val="auto"/>
              </w:rPr>
            </w:pPr>
            <w:r>
              <w:rPr>
                <w:rFonts w:ascii="Times New Roman" w:cs="Times New Roman" w:eastAsia="Times New Roman" w:hAnsi="Times New Roman"/>
                <w:sz w:val="12"/>
                <w:szCs w:val="12"/>
                <w:color w:val="231F20"/>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231F20"/>
              </w:rPr>
              <w:t>(101,816)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(101,816)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520" w:type="dxa"/>
            <w:vAlign w:val="bottom"/>
            <w:gridSpan w:val="5"/>
            <w:shd w:val="clear" w:color="auto" w:fill="EAEBEC"/>
          </w:tcPr>
          <w:p>
            <w:pPr>
              <w:spacing w:after="0" w:line="121" w:lineRule="exact"/>
              <w:rPr>
                <w:sz w:val="20"/>
                <w:szCs w:val="20"/>
                <w:color w:val="auto"/>
              </w:rPr>
            </w:pPr>
            <w:r>
              <w:rPr>
                <w:rFonts w:ascii="Times New Roman" w:cs="Times New Roman" w:eastAsia="Times New Roman" w:hAnsi="Times New Roman"/>
                <w:sz w:val="12"/>
                <w:szCs w:val="12"/>
                <w:color w:val="231F20"/>
              </w:rPr>
              <w:t>Foreign currency translation</w:t>
            </w:r>
          </w:p>
        </w:tc>
        <w:tc>
          <w:tcPr>
            <w:tcW w:w="1040" w:type="dxa"/>
            <w:vAlign w:val="bottom"/>
            <w:vMerge w:val="restart"/>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0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2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80" w:type="dxa"/>
            <w:vAlign w:val="bottom"/>
            <w:shd w:val="clear" w:color="auto" w:fill="EAEBEC"/>
          </w:tcPr>
          <w:p>
            <w:pPr>
              <w:spacing w:after="0"/>
              <w:rPr>
                <w:sz w:val="10"/>
                <w:szCs w:val="10"/>
                <w:color w:val="auto"/>
              </w:rPr>
            </w:pPr>
          </w:p>
        </w:tc>
        <w:tc>
          <w:tcPr>
            <w:tcW w:w="980" w:type="dxa"/>
            <w:vAlign w:val="bottom"/>
            <w:gridSpan w:val="2"/>
            <w:vMerge w:val="restart"/>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40" w:type="dxa"/>
            <w:vAlign w:val="bottom"/>
            <w:gridSpan w:val="3"/>
            <w:vMerge w:val="restart"/>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00" w:type="dxa"/>
            <w:vAlign w:val="bottom"/>
            <w:shd w:val="clear" w:color="auto" w:fill="EAEBEC"/>
          </w:tcPr>
          <w:p>
            <w:pPr>
              <w:spacing w:after="0"/>
              <w:rPr>
                <w:sz w:val="10"/>
                <w:szCs w:val="10"/>
                <w:color w:val="auto"/>
              </w:rPr>
            </w:pPr>
          </w:p>
        </w:tc>
        <w:tc>
          <w:tcPr>
            <w:tcW w:w="1400" w:type="dxa"/>
            <w:vAlign w:val="bottom"/>
            <w:gridSpan w:val="7"/>
            <w:vMerge w:val="restart"/>
            <w:shd w:val="clear" w:color="auto" w:fill="EAEBEC"/>
          </w:tcPr>
          <w:p>
            <w:pPr>
              <w:jc w:val="right"/>
              <w:ind w:right="140"/>
              <w:spacing w:after="0"/>
              <w:rPr>
                <w:sz w:val="20"/>
                <w:szCs w:val="20"/>
                <w:color w:val="auto"/>
              </w:rPr>
            </w:pPr>
            <w:r>
              <w:rPr>
                <w:rFonts w:ascii="Times New Roman" w:cs="Times New Roman" w:eastAsia="Times New Roman" w:hAnsi="Times New Roman"/>
                <w:sz w:val="12"/>
                <w:szCs w:val="12"/>
                <w:color w:val="231F20"/>
              </w:rPr>
              <w:t>—</w:t>
            </w:r>
          </w:p>
        </w:tc>
        <w:tc>
          <w:tcPr>
            <w:tcW w:w="140" w:type="dxa"/>
            <w:vAlign w:val="bottom"/>
            <w:shd w:val="clear" w:color="auto" w:fill="EAEBEC"/>
          </w:tcPr>
          <w:p>
            <w:pPr>
              <w:spacing w:after="0"/>
              <w:rPr>
                <w:sz w:val="10"/>
                <w:szCs w:val="10"/>
                <w:color w:val="auto"/>
              </w:rPr>
            </w:pPr>
          </w:p>
        </w:tc>
        <w:tc>
          <w:tcPr>
            <w:tcW w:w="1320" w:type="dxa"/>
            <w:vAlign w:val="bottom"/>
            <w:gridSpan w:val="3"/>
            <w:vMerge w:val="restart"/>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(21,836)</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6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(21,836)</w:t>
            </w:r>
          </w:p>
        </w:tc>
        <w:tc>
          <w:tcPr>
            <w:tcW w:w="0" w:type="dxa"/>
            <w:vAlign w:val="bottom"/>
          </w:tcPr>
          <w:p>
            <w:pPr>
              <w:spacing w:after="0"/>
              <w:rPr>
                <w:sz w:val="1"/>
                <w:szCs w:val="1"/>
                <w:color w:val="auto"/>
              </w:rPr>
            </w:pPr>
          </w:p>
        </w:tc>
      </w:tr>
      <w:tr>
        <w:trPr>
          <w:trHeight w:val="158"/>
        </w:trPr>
        <w:tc>
          <w:tcPr>
            <w:tcW w:w="4520" w:type="dxa"/>
            <w:vAlign w:val="bottom"/>
            <w:gridSpan w:val="5"/>
            <w:shd w:val="clear" w:color="auto" w:fill="EAEBEC"/>
          </w:tcPr>
          <w:p>
            <w:pPr>
              <w:ind w:left="100"/>
              <w:spacing w:after="0"/>
              <w:rPr>
                <w:sz w:val="20"/>
                <w:szCs w:val="20"/>
                <w:color w:val="auto"/>
              </w:rPr>
            </w:pPr>
            <w:r>
              <w:rPr>
                <w:rFonts w:ascii="Times New Roman" w:cs="Times New Roman" w:eastAsia="Times New Roman" w:hAnsi="Times New Roman"/>
                <w:sz w:val="12"/>
                <w:szCs w:val="12"/>
                <w:color w:val="231F20"/>
              </w:rPr>
              <w:t>adjustment, net of tax of $(7,605)</w:t>
            </w:r>
          </w:p>
        </w:tc>
        <w:tc>
          <w:tcPr>
            <w:tcW w:w="1040" w:type="dxa"/>
            <w:vAlign w:val="bottom"/>
            <w:vMerge w:val="continue"/>
            <w:shd w:val="clear" w:color="auto" w:fill="EAEBEC"/>
          </w:tcPr>
          <w:p>
            <w:pPr>
              <w:spacing w:after="0"/>
              <w:rPr>
                <w:sz w:val="13"/>
                <w:szCs w:val="13"/>
                <w:color w:val="auto"/>
              </w:rPr>
            </w:pPr>
          </w:p>
        </w:tc>
        <w:tc>
          <w:tcPr>
            <w:tcW w:w="4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00" w:type="dxa"/>
            <w:vAlign w:val="bottom"/>
            <w:gridSpan w:val="2"/>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20" w:type="dxa"/>
            <w:vAlign w:val="bottom"/>
            <w:gridSpan w:val="2"/>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80" w:type="dxa"/>
            <w:vAlign w:val="bottom"/>
            <w:shd w:val="clear" w:color="auto" w:fill="EAEBEC"/>
          </w:tcPr>
          <w:p>
            <w:pPr>
              <w:spacing w:after="0"/>
              <w:rPr>
                <w:sz w:val="13"/>
                <w:szCs w:val="13"/>
                <w:color w:val="auto"/>
              </w:rPr>
            </w:pPr>
          </w:p>
        </w:tc>
        <w:tc>
          <w:tcPr>
            <w:tcW w:w="980" w:type="dxa"/>
            <w:vAlign w:val="bottom"/>
            <w:gridSpan w:val="2"/>
            <w:vMerge w:val="continue"/>
            <w:shd w:val="clear" w:color="auto" w:fill="EAEBEC"/>
          </w:tcPr>
          <w:p>
            <w:pPr>
              <w:spacing w:after="0"/>
              <w:rPr>
                <w:sz w:val="13"/>
                <w:szCs w:val="13"/>
                <w:color w:val="auto"/>
              </w:rPr>
            </w:pPr>
          </w:p>
        </w:tc>
        <w:tc>
          <w:tcPr>
            <w:tcW w:w="4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40" w:type="dxa"/>
            <w:vAlign w:val="bottom"/>
            <w:gridSpan w:val="3"/>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00" w:type="dxa"/>
            <w:vAlign w:val="bottom"/>
            <w:shd w:val="clear" w:color="auto" w:fill="EAEBEC"/>
          </w:tcPr>
          <w:p>
            <w:pPr>
              <w:spacing w:after="0"/>
              <w:rPr>
                <w:sz w:val="13"/>
                <w:szCs w:val="13"/>
                <w:color w:val="auto"/>
              </w:rPr>
            </w:pPr>
          </w:p>
        </w:tc>
        <w:tc>
          <w:tcPr>
            <w:tcW w:w="1400" w:type="dxa"/>
            <w:vAlign w:val="bottom"/>
            <w:gridSpan w:val="7"/>
            <w:vMerge w:val="continue"/>
            <w:shd w:val="clear" w:color="auto" w:fill="EAEBEC"/>
          </w:tcPr>
          <w:p>
            <w:pPr>
              <w:spacing w:after="0"/>
              <w:rPr>
                <w:sz w:val="13"/>
                <w:szCs w:val="13"/>
                <w:color w:val="auto"/>
              </w:rPr>
            </w:pPr>
          </w:p>
        </w:tc>
        <w:tc>
          <w:tcPr>
            <w:tcW w:w="140" w:type="dxa"/>
            <w:vAlign w:val="bottom"/>
            <w:shd w:val="clear" w:color="auto" w:fill="EAEBEC"/>
          </w:tcPr>
          <w:p>
            <w:pPr>
              <w:spacing w:after="0"/>
              <w:rPr>
                <w:sz w:val="13"/>
                <w:szCs w:val="13"/>
                <w:color w:val="auto"/>
              </w:rPr>
            </w:pPr>
          </w:p>
        </w:tc>
        <w:tc>
          <w:tcPr>
            <w:tcW w:w="1320" w:type="dxa"/>
            <w:vAlign w:val="bottom"/>
            <w:gridSpan w:val="3"/>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60" w:type="dxa"/>
            <w:vAlign w:val="bottom"/>
            <w:gridSpan w:val="2"/>
            <w:vMerge w:val="continue"/>
            <w:shd w:val="clear" w:color="auto" w:fill="EAEBE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520" w:type="dxa"/>
            <w:vAlign w:val="bottom"/>
            <w:gridSpan w:val="5"/>
          </w:tcPr>
          <w:p>
            <w:pPr>
              <w:spacing w:after="0" w:line="121" w:lineRule="exact"/>
              <w:rPr>
                <w:sz w:val="20"/>
                <w:szCs w:val="20"/>
                <w:color w:val="auto"/>
              </w:rPr>
            </w:pPr>
            <w:r>
              <w:rPr>
                <w:rFonts w:ascii="Times New Roman" w:cs="Times New Roman" w:eastAsia="Times New Roman" w:hAnsi="Times New Roman"/>
                <w:sz w:val="12"/>
                <w:szCs w:val="12"/>
                <w:color w:val="231F20"/>
              </w:rPr>
              <w:t>Unrealized gain on derivatives,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7"/>
            <w:vMerge w:val="restart"/>
          </w:tcPr>
          <w:p>
            <w:pPr>
              <w:jc w:val="right"/>
              <w:ind w:right="140"/>
              <w:spacing w:after="0"/>
              <w:rPr>
                <w:sz w:val="20"/>
                <w:szCs w:val="20"/>
                <w:color w:val="auto"/>
              </w:rPr>
            </w:pPr>
            <w:r>
              <w:rPr>
                <w:rFonts w:ascii="Times New Roman" w:cs="Times New Roman" w:eastAsia="Times New Roman" w:hAnsi="Times New Roman"/>
                <w:sz w:val="12"/>
                <w:szCs w:val="12"/>
                <w:color w:val="231F20"/>
              </w:rPr>
              <w:t>—</w:t>
            </w:r>
          </w:p>
        </w:tc>
        <w:tc>
          <w:tcPr>
            <w:tcW w:w="14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4,303</w:t>
            </w:r>
          </w:p>
        </w:tc>
        <w:tc>
          <w:tcPr>
            <w:tcW w:w="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4,303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52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231F20"/>
              </w:rPr>
              <w:t>net of tax of $1,418 (Note 8)</w:t>
            </w:r>
          </w:p>
        </w:tc>
        <w:tc>
          <w:tcPr>
            <w:tcW w:w="10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7"/>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520" w:type="dxa"/>
            <w:vAlign w:val="bottom"/>
            <w:gridSpan w:val="5"/>
            <w:shd w:val="clear" w:color="auto" w:fill="EAEBEC"/>
          </w:tcPr>
          <w:p>
            <w:pPr>
              <w:spacing w:after="0" w:line="124" w:lineRule="exact"/>
              <w:rPr>
                <w:sz w:val="20"/>
                <w:szCs w:val="20"/>
                <w:color w:val="auto"/>
              </w:rPr>
            </w:pPr>
            <w:r>
              <w:rPr>
                <w:rFonts w:ascii="Times New Roman" w:cs="Times New Roman" w:eastAsia="Times New Roman" w:hAnsi="Times New Roman"/>
                <w:sz w:val="12"/>
                <w:szCs w:val="12"/>
                <w:color w:val="231F20"/>
              </w:rPr>
              <w:t>Gains on derivatives reclassified to</w:t>
            </w:r>
          </w:p>
        </w:tc>
        <w:tc>
          <w:tcPr>
            <w:tcW w:w="1040" w:type="dxa"/>
            <w:vAlign w:val="bottom"/>
            <w:vMerge w:val="restart"/>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0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2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80" w:type="dxa"/>
            <w:vAlign w:val="bottom"/>
            <w:shd w:val="clear" w:color="auto" w:fill="EAEBEC"/>
          </w:tcPr>
          <w:p>
            <w:pPr>
              <w:spacing w:after="0"/>
              <w:rPr>
                <w:sz w:val="10"/>
                <w:szCs w:val="10"/>
                <w:color w:val="auto"/>
              </w:rPr>
            </w:pPr>
          </w:p>
        </w:tc>
        <w:tc>
          <w:tcPr>
            <w:tcW w:w="980" w:type="dxa"/>
            <w:vAlign w:val="bottom"/>
            <w:gridSpan w:val="2"/>
            <w:vMerge w:val="restart"/>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40" w:type="dxa"/>
            <w:vAlign w:val="bottom"/>
            <w:gridSpan w:val="3"/>
            <w:vMerge w:val="restart"/>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00" w:type="dxa"/>
            <w:vAlign w:val="bottom"/>
            <w:shd w:val="clear" w:color="auto" w:fill="EAEBEC"/>
          </w:tcPr>
          <w:p>
            <w:pPr>
              <w:spacing w:after="0"/>
              <w:rPr>
                <w:sz w:val="10"/>
                <w:szCs w:val="10"/>
                <w:color w:val="auto"/>
              </w:rPr>
            </w:pPr>
          </w:p>
        </w:tc>
        <w:tc>
          <w:tcPr>
            <w:tcW w:w="1400" w:type="dxa"/>
            <w:vAlign w:val="bottom"/>
            <w:gridSpan w:val="7"/>
            <w:vMerge w:val="restart"/>
            <w:shd w:val="clear" w:color="auto" w:fill="EAEBEC"/>
          </w:tcPr>
          <w:p>
            <w:pPr>
              <w:jc w:val="right"/>
              <w:ind w:right="140"/>
              <w:spacing w:after="0"/>
              <w:rPr>
                <w:sz w:val="20"/>
                <w:szCs w:val="20"/>
                <w:color w:val="auto"/>
              </w:rPr>
            </w:pPr>
            <w:r>
              <w:rPr>
                <w:rFonts w:ascii="Times New Roman" w:cs="Times New Roman" w:eastAsia="Times New Roman" w:hAnsi="Times New Roman"/>
                <w:sz w:val="12"/>
                <w:szCs w:val="12"/>
                <w:color w:val="231F20"/>
              </w:rPr>
              <w:t>—</w:t>
            </w:r>
          </w:p>
        </w:tc>
        <w:tc>
          <w:tcPr>
            <w:tcW w:w="140" w:type="dxa"/>
            <w:vAlign w:val="bottom"/>
            <w:shd w:val="clear" w:color="auto" w:fill="EAEBEC"/>
          </w:tcPr>
          <w:p>
            <w:pPr>
              <w:spacing w:after="0"/>
              <w:rPr>
                <w:sz w:val="10"/>
                <w:szCs w:val="10"/>
                <w:color w:val="auto"/>
              </w:rPr>
            </w:pPr>
          </w:p>
        </w:tc>
        <w:tc>
          <w:tcPr>
            <w:tcW w:w="1320" w:type="dxa"/>
            <w:vAlign w:val="bottom"/>
            <w:gridSpan w:val="3"/>
            <w:vMerge w:val="restart"/>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(2,371)</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6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(2,371)</w:t>
            </w:r>
          </w:p>
        </w:tc>
        <w:tc>
          <w:tcPr>
            <w:tcW w:w="0" w:type="dxa"/>
            <w:vAlign w:val="bottom"/>
          </w:tcPr>
          <w:p>
            <w:pPr>
              <w:spacing w:after="0"/>
              <w:rPr>
                <w:sz w:val="1"/>
                <w:szCs w:val="1"/>
                <w:color w:val="auto"/>
              </w:rPr>
            </w:pPr>
          </w:p>
        </w:tc>
      </w:tr>
      <w:tr>
        <w:trPr>
          <w:trHeight w:val="158"/>
        </w:trPr>
        <w:tc>
          <w:tcPr>
            <w:tcW w:w="4520" w:type="dxa"/>
            <w:vAlign w:val="bottom"/>
            <w:gridSpan w:val="5"/>
            <w:shd w:val="clear" w:color="auto" w:fill="EAEBEC"/>
          </w:tcPr>
          <w:p>
            <w:pPr>
              <w:ind w:left="100"/>
              <w:spacing w:after="0"/>
              <w:rPr>
                <w:sz w:val="20"/>
                <w:szCs w:val="20"/>
                <w:color w:val="auto"/>
              </w:rPr>
            </w:pPr>
            <w:r>
              <w:rPr>
                <w:rFonts w:ascii="Times New Roman" w:cs="Times New Roman" w:eastAsia="Times New Roman" w:hAnsi="Times New Roman"/>
                <w:sz w:val="12"/>
                <w:szCs w:val="12"/>
                <w:color w:val="231F20"/>
              </w:rPr>
              <w:t>income, net of tax of $(776) (Note 8)</w:t>
            </w:r>
          </w:p>
        </w:tc>
        <w:tc>
          <w:tcPr>
            <w:tcW w:w="1040" w:type="dxa"/>
            <w:vAlign w:val="bottom"/>
            <w:vMerge w:val="continue"/>
            <w:shd w:val="clear" w:color="auto" w:fill="EAEBEC"/>
          </w:tcPr>
          <w:p>
            <w:pPr>
              <w:spacing w:after="0"/>
              <w:rPr>
                <w:sz w:val="13"/>
                <w:szCs w:val="13"/>
                <w:color w:val="auto"/>
              </w:rPr>
            </w:pPr>
          </w:p>
        </w:tc>
        <w:tc>
          <w:tcPr>
            <w:tcW w:w="4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00" w:type="dxa"/>
            <w:vAlign w:val="bottom"/>
            <w:gridSpan w:val="2"/>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20" w:type="dxa"/>
            <w:vAlign w:val="bottom"/>
            <w:gridSpan w:val="2"/>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80" w:type="dxa"/>
            <w:vAlign w:val="bottom"/>
            <w:shd w:val="clear" w:color="auto" w:fill="EAEBEC"/>
          </w:tcPr>
          <w:p>
            <w:pPr>
              <w:spacing w:after="0"/>
              <w:rPr>
                <w:sz w:val="13"/>
                <w:szCs w:val="13"/>
                <w:color w:val="auto"/>
              </w:rPr>
            </w:pPr>
          </w:p>
        </w:tc>
        <w:tc>
          <w:tcPr>
            <w:tcW w:w="980" w:type="dxa"/>
            <w:vAlign w:val="bottom"/>
            <w:gridSpan w:val="2"/>
            <w:vMerge w:val="continue"/>
            <w:shd w:val="clear" w:color="auto" w:fill="EAEBEC"/>
          </w:tcPr>
          <w:p>
            <w:pPr>
              <w:spacing w:after="0"/>
              <w:rPr>
                <w:sz w:val="13"/>
                <w:szCs w:val="13"/>
                <w:color w:val="auto"/>
              </w:rPr>
            </w:pPr>
          </w:p>
        </w:tc>
        <w:tc>
          <w:tcPr>
            <w:tcW w:w="4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40" w:type="dxa"/>
            <w:vAlign w:val="bottom"/>
            <w:gridSpan w:val="3"/>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00" w:type="dxa"/>
            <w:vAlign w:val="bottom"/>
            <w:shd w:val="clear" w:color="auto" w:fill="EAEBEC"/>
          </w:tcPr>
          <w:p>
            <w:pPr>
              <w:spacing w:after="0"/>
              <w:rPr>
                <w:sz w:val="13"/>
                <w:szCs w:val="13"/>
                <w:color w:val="auto"/>
              </w:rPr>
            </w:pPr>
          </w:p>
        </w:tc>
        <w:tc>
          <w:tcPr>
            <w:tcW w:w="1400" w:type="dxa"/>
            <w:vAlign w:val="bottom"/>
            <w:gridSpan w:val="7"/>
            <w:vMerge w:val="continue"/>
            <w:shd w:val="clear" w:color="auto" w:fill="EAEBEC"/>
          </w:tcPr>
          <w:p>
            <w:pPr>
              <w:spacing w:after="0"/>
              <w:rPr>
                <w:sz w:val="13"/>
                <w:szCs w:val="13"/>
                <w:color w:val="auto"/>
              </w:rPr>
            </w:pPr>
          </w:p>
        </w:tc>
        <w:tc>
          <w:tcPr>
            <w:tcW w:w="140" w:type="dxa"/>
            <w:vAlign w:val="bottom"/>
            <w:shd w:val="clear" w:color="auto" w:fill="EAEBEC"/>
          </w:tcPr>
          <w:p>
            <w:pPr>
              <w:spacing w:after="0"/>
              <w:rPr>
                <w:sz w:val="13"/>
                <w:szCs w:val="13"/>
                <w:color w:val="auto"/>
              </w:rPr>
            </w:pPr>
          </w:p>
        </w:tc>
        <w:tc>
          <w:tcPr>
            <w:tcW w:w="1320" w:type="dxa"/>
            <w:vAlign w:val="bottom"/>
            <w:gridSpan w:val="3"/>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60" w:type="dxa"/>
            <w:vAlign w:val="bottom"/>
            <w:gridSpan w:val="2"/>
            <w:vMerge w:val="continue"/>
            <w:shd w:val="clear" w:color="auto" w:fill="EAEBE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520" w:type="dxa"/>
            <w:vAlign w:val="bottom"/>
            <w:gridSpan w:val="5"/>
          </w:tcPr>
          <w:p>
            <w:pPr>
              <w:spacing w:after="0" w:line="121" w:lineRule="exact"/>
              <w:rPr>
                <w:sz w:val="20"/>
                <w:szCs w:val="20"/>
                <w:color w:val="auto"/>
              </w:rPr>
            </w:pPr>
            <w:r>
              <w:rPr>
                <w:rFonts w:ascii="Times New Roman" w:cs="Times New Roman" w:eastAsia="Times New Roman" w:hAnsi="Times New Roman"/>
                <w:sz w:val="12"/>
                <w:szCs w:val="12"/>
                <w:color w:val="231F20"/>
              </w:rPr>
              <w:t>Issuance of common stock,</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7,910</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725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60" w:type="dxa"/>
            <w:vAlign w:val="bottom"/>
            <w:gridSpan w:val="3"/>
            <w:vMerge w:val="restart"/>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80" w:type="dxa"/>
            <w:vAlign w:val="bottom"/>
            <w:gridSpan w:val="2"/>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733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480" w:type="dxa"/>
            <w:vAlign w:val="bottom"/>
            <w:tcBorders>
              <w:bottom w:val="single" w:sz="8" w:color="EAEBEC"/>
            </w:tcBorders>
            <w:gridSpan w:val="3"/>
          </w:tcPr>
          <w:p>
            <w:pPr>
              <w:ind w:left="100"/>
              <w:spacing w:after="0"/>
              <w:rPr>
                <w:sz w:val="20"/>
                <w:szCs w:val="20"/>
                <w:color w:val="auto"/>
              </w:rPr>
            </w:pPr>
            <w:r>
              <w:rPr>
                <w:rFonts w:ascii="Times New Roman" w:cs="Times New Roman" w:eastAsia="Times New Roman" w:hAnsi="Times New Roman"/>
                <w:sz w:val="12"/>
                <w:szCs w:val="12"/>
                <w:color w:val="231F20"/>
              </w:rPr>
              <w:t>net of tax withholdings</w:t>
            </w:r>
          </w:p>
        </w:tc>
        <w:tc>
          <w:tcPr>
            <w:tcW w:w="40" w:type="dxa"/>
            <w:vAlign w:val="bottom"/>
            <w:tcBorders>
              <w:bottom w:val="single" w:sz="8" w:color="231F20"/>
            </w:tcBorders>
            <w:gridSpan w:val="2"/>
          </w:tcPr>
          <w:p>
            <w:pPr>
              <w:spacing w:after="0"/>
              <w:rPr>
                <w:sz w:val="13"/>
                <w:szCs w:val="13"/>
                <w:color w:val="auto"/>
              </w:rPr>
            </w:pPr>
          </w:p>
        </w:tc>
        <w:tc>
          <w:tcPr>
            <w:tcW w:w="1040" w:type="dxa"/>
            <w:vAlign w:val="bottom"/>
            <w:tcBorders>
              <w:bottom w:val="single" w:sz="8" w:color="231F20"/>
            </w:tcBorders>
            <w:vMerge w:val="continue"/>
          </w:tcPr>
          <w:p>
            <w:pPr>
              <w:spacing w:after="0"/>
              <w:rPr>
                <w:sz w:val="13"/>
                <w:szCs w:val="13"/>
                <w:color w:val="auto"/>
              </w:rPr>
            </w:pPr>
          </w:p>
        </w:tc>
        <w:tc>
          <w:tcPr>
            <w:tcW w:w="40" w:type="dxa"/>
            <w:vAlign w:val="bottom"/>
            <w:tcBorders>
              <w:bottom w:val="single" w:sz="8" w:color="EAEBEC"/>
            </w:tcBorders>
          </w:tcPr>
          <w:p>
            <w:pPr>
              <w:spacing w:after="0"/>
              <w:rPr>
                <w:sz w:val="13"/>
                <w:szCs w:val="13"/>
                <w:color w:val="auto"/>
              </w:rPr>
            </w:pPr>
          </w:p>
        </w:tc>
        <w:tc>
          <w:tcPr>
            <w:tcW w:w="20" w:type="dxa"/>
            <w:vAlign w:val="bottom"/>
            <w:tcBorders>
              <w:bottom w:val="single" w:sz="8" w:color="EAEBEC"/>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1080" w:type="dxa"/>
            <w:vAlign w:val="bottom"/>
            <w:tcBorders>
              <w:bottom w:val="single" w:sz="8" w:color="231F20"/>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tcBorders>
              <w:bottom w:val="single" w:sz="8" w:color="EAEBEC"/>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1100" w:type="dxa"/>
            <w:vAlign w:val="bottom"/>
            <w:tcBorders>
              <w:bottom w:val="single" w:sz="8" w:color="231F20"/>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tcBorders>
              <w:bottom w:val="single" w:sz="8" w:color="EAEBEC"/>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180" w:type="dxa"/>
            <w:vAlign w:val="bottom"/>
            <w:tcBorders>
              <w:bottom w:val="single" w:sz="8" w:color="231F20"/>
            </w:tcBorders>
          </w:tcPr>
          <w:p>
            <w:pPr>
              <w:spacing w:after="0"/>
              <w:rPr>
                <w:sz w:val="13"/>
                <w:szCs w:val="13"/>
                <w:color w:val="auto"/>
              </w:rPr>
            </w:pPr>
          </w:p>
        </w:tc>
        <w:tc>
          <w:tcPr>
            <w:tcW w:w="960" w:type="dxa"/>
            <w:vAlign w:val="bottom"/>
            <w:tcBorders>
              <w:bottom w:val="single" w:sz="8" w:color="231F20"/>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EAEBEC"/>
            </w:tcBorders>
          </w:tcPr>
          <w:p>
            <w:pPr>
              <w:spacing w:after="0"/>
              <w:rPr>
                <w:sz w:val="13"/>
                <w:szCs w:val="13"/>
                <w:color w:val="auto"/>
              </w:rPr>
            </w:pPr>
          </w:p>
        </w:tc>
        <w:tc>
          <w:tcPr>
            <w:tcW w:w="20" w:type="dxa"/>
            <w:vAlign w:val="bottom"/>
            <w:tcBorders>
              <w:bottom w:val="single" w:sz="8" w:color="EAEBEC"/>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1080" w:type="dxa"/>
            <w:vAlign w:val="bottom"/>
            <w:tcBorders>
              <w:bottom w:val="single" w:sz="8" w:color="231F20"/>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EAEBEC"/>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100" w:type="dxa"/>
            <w:vAlign w:val="bottom"/>
            <w:tcBorders>
              <w:bottom w:val="single" w:sz="8" w:color="231F20"/>
            </w:tcBorders>
          </w:tcPr>
          <w:p>
            <w:pPr>
              <w:spacing w:after="0"/>
              <w:rPr>
                <w:sz w:val="13"/>
                <w:szCs w:val="13"/>
                <w:color w:val="auto"/>
              </w:rPr>
            </w:pPr>
          </w:p>
        </w:tc>
        <w:tc>
          <w:tcPr>
            <w:tcW w:w="1300" w:type="dxa"/>
            <w:vAlign w:val="bottom"/>
            <w:tcBorders>
              <w:bottom w:val="single" w:sz="8" w:color="231F20"/>
            </w:tcBorders>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tcBorders>
              <w:bottom w:val="single" w:sz="8" w:color="EAEBEC"/>
            </w:tcBorders>
            <w:vMerge w:val="continue"/>
          </w:tcPr>
          <w:p>
            <w:pPr>
              <w:spacing w:after="0"/>
              <w:rPr>
                <w:sz w:val="13"/>
                <w:szCs w:val="13"/>
                <w:color w:val="auto"/>
              </w:rPr>
            </w:pPr>
          </w:p>
        </w:tc>
        <w:tc>
          <w:tcPr>
            <w:tcW w:w="60" w:type="dxa"/>
            <w:vAlign w:val="bottom"/>
            <w:tcBorders>
              <w:bottom w:val="single" w:sz="8" w:color="231F20"/>
            </w:tcBorders>
            <w:gridSpan w:val="3"/>
            <w:vMerge w:val="continue"/>
          </w:tcPr>
          <w:p>
            <w:pPr>
              <w:spacing w:after="0"/>
              <w:rPr>
                <w:sz w:val="13"/>
                <w:szCs w:val="13"/>
                <w:color w:val="auto"/>
              </w:rPr>
            </w:pPr>
          </w:p>
        </w:tc>
        <w:tc>
          <w:tcPr>
            <w:tcW w:w="140" w:type="dxa"/>
            <w:vAlign w:val="bottom"/>
            <w:tcBorders>
              <w:bottom w:val="single" w:sz="8" w:color="231F20"/>
            </w:tcBorders>
          </w:tcPr>
          <w:p>
            <w:pPr>
              <w:spacing w:after="0"/>
              <w:rPr>
                <w:sz w:val="13"/>
                <w:szCs w:val="13"/>
                <w:color w:val="auto"/>
              </w:rPr>
            </w:pPr>
          </w:p>
        </w:tc>
        <w:tc>
          <w:tcPr>
            <w:tcW w:w="1260" w:type="dxa"/>
            <w:vAlign w:val="bottom"/>
            <w:tcBorders>
              <w:bottom w:val="single" w:sz="8" w:color="231F20"/>
            </w:tcBorders>
            <w:gridSpan w:val="2"/>
            <w:vMerge w:val="continue"/>
          </w:tcPr>
          <w:p>
            <w:pPr>
              <w:spacing w:after="0"/>
              <w:rPr>
                <w:sz w:val="13"/>
                <w:szCs w:val="13"/>
                <w:color w:val="auto"/>
              </w:rPr>
            </w:pPr>
          </w:p>
        </w:tc>
        <w:tc>
          <w:tcPr>
            <w:tcW w:w="80" w:type="dxa"/>
            <w:vAlign w:val="bottom"/>
            <w:tcBorders>
              <w:bottom w:val="single" w:sz="8" w:color="EAEBEC"/>
            </w:tcBorders>
            <w:gridSpan w:val="2"/>
            <w:vMerge w:val="continue"/>
          </w:tcPr>
          <w:p>
            <w:pPr>
              <w:spacing w:after="0"/>
              <w:rPr>
                <w:sz w:val="13"/>
                <w:szCs w:val="13"/>
                <w:color w:val="auto"/>
              </w:rPr>
            </w:pPr>
          </w:p>
        </w:tc>
        <w:tc>
          <w:tcPr>
            <w:tcW w:w="20" w:type="dxa"/>
            <w:vAlign w:val="bottom"/>
            <w:tcBorders>
              <w:bottom w:val="single" w:sz="8" w:color="231F20"/>
            </w:tcBorders>
            <w:vMerge w:val="continue"/>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20" w:type="dxa"/>
            <w:vAlign w:val="bottom"/>
            <w:tcBorders>
              <w:bottom w:val="single" w:sz="8" w:color="231F20"/>
            </w:tcBorders>
          </w:tcPr>
          <w:p>
            <w:pPr>
              <w:spacing w:after="0"/>
              <w:rPr>
                <w:sz w:val="13"/>
                <w:szCs w:val="13"/>
                <w:color w:val="auto"/>
              </w:rPr>
            </w:pPr>
          </w:p>
        </w:tc>
        <w:tc>
          <w:tcPr>
            <w:tcW w:w="1100" w:type="dxa"/>
            <w:vAlign w:val="bottom"/>
            <w:tcBorders>
              <w:bottom w:val="single" w:sz="8" w:color="231F20"/>
            </w:tcBorders>
            <w:vMerge w:val="continue"/>
          </w:tcPr>
          <w:p>
            <w:pPr>
              <w:spacing w:after="0"/>
              <w:rPr>
                <w:sz w:val="13"/>
                <w:szCs w:val="13"/>
                <w:color w:val="auto"/>
              </w:rPr>
            </w:pPr>
          </w:p>
        </w:tc>
        <w:tc>
          <w:tcPr>
            <w:tcW w:w="60" w:type="dxa"/>
            <w:vAlign w:val="bottom"/>
            <w:tcBorders>
              <w:bottom w:val="single" w:sz="8" w:color="EAEBEC"/>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80" w:type="dxa"/>
            <w:vAlign w:val="bottom"/>
            <w:gridSpan w:val="3"/>
            <w:shd w:val="clear" w:color="auto" w:fill="EAEBEC"/>
          </w:tcPr>
          <w:p>
            <w:pPr>
              <w:spacing w:after="0"/>
              <w:rPr>
                <w:sz w:val="20"/>
                <w:szCs w:val="20"/>
                <w:color w:val="auto"/>
              </w:rPr>
            </w:pPr>
            <w:r>
              <w:rPr>
                <w:rFonts w:ascii="Times New Roman" w:cs="Times New Roman" w:eastAsia="Times New Roman" w:hAnsi="Times New Roman"/>
                <w:sz w:val="12"/>
                <w:szCs w:val="12"/>
                <w:b w:val="1"/>
                <w:bCs w:val="1"/>
                <w:color w:val="231F20"/>
              </w:rPr>
              <w:t>Balance at February 1, 2025</w:t>
            </w:r>
          </w:p>
        </w:tc>
        <w:tc>
          <w:tcPr>
            <w:tcW w:w="40" w:type="dxa"/>
            <w:vAlign w:val="bottom"/>
            <w:gridSpan w:val="2"/>
            <w:shd w:val="clear" w:color="auto" w:fill="EAEBEC"/>
          </w:tcPr>
          <w:p>
            <w:pPr>
              <w:spacing w:after="0"/>
              <w:rPr>
                <w:sz w:val="14"/>
                <w:szCs w:val="14"/>
                <w:color w:val="auto"/>
              </w:rPr>
            </w:pP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239,066</w:t>
            </w:r>
          </w:p>
        </w:tc>
        <w:tc>
          <w:tcPr>
            <w:tcW w:w="4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37,791</w:t>
            </w: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11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37,791</w:t>
            </w: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180" w:type="dxa"/>
            <w:vAlign w:val="bottom"/>
            <w:shd w:val="clear" w:color="auto" w:fill="EAEBEC"/>
          </w:tcPr>
          <w:p>
            <w:pPr>
              <w:jc w:val="right"/>
              <w:ind w:right="154"/>
              <w:spacing w:after="0"/>
              <w:rPr>
                <w:sz w:val="20"/>
                <w:szCs w:val="20"/>
                <w:color w:val="auto"/>
              </w:rPr>
            </w:pPr>
            <w:r>
              <w:rPr>
                <w:rFonts w:ascii="Times New Roman" w:cs="Times New Roman" w:eastAsia="Times New Roman" w:hAnsi="Times New Roman"/>
                <w:sz w:val="1"/>
                <w:szCs w:val="1"/>
                <w:color w:val="231F20"/>
                <w:w w:val="4294967286"/>
              </w:rPr>
              <w:t>$</w:t>
            </w:r>
          </w:p>
        </w:tc>
        <w:tc>
          <w:tcPr>
            <w:tcW w:w="9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277</w:t>
            </w:r>
          </w:p>
        </w:tc>
        <w:tc>
          <w:tcPr>
            <w:tcW w:w="20" w:type="dxa"/>
            <w:vAlign w:val="bottom"/>
            <w:shd w:val="clear" w:color="auto" w:fill="EAEBEC"/>
          </w:tcPr>
          <w:p>
            <w:pPr>
              <w:spacing w:after="0"/>
              <w:rPr>
                <w:sz w:val="14"/>
                <w:szCs w:val="14"/>
                <w:color w:val="auto"/>
              </w:rPr>
            </w:pPr>
          </w:p>
        </w:tc>
        <w:tc>
          <w:tcPr>
            <w:tcW w:w="4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0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2,280,495</w:t>
            </w:r>
          </w:p>
        </w:tc>
        <w:tc>
          <w:tcPr>
            <w:tcW w:w="20" w:type="dxa"/>
            <w:vAlign w:val="bottom"/>
            <w:shd w:val="clear" w:color="auto" w:fill="EAEBEC"/>
          </w:tcPr>
          <w:p>
            <w:pPr>
              <w:spacing w:after="0"/>
              <w:rPr>
                <w:sz w:val="14"/>
                <w:szCs w:val="14"/>
                <w:color w:val="auto"/>
              </w:rPr>
            </w:pPr>
          </w:p>
        </w:tc>
        <w:tc>
          <w:tcPr>
            <w:tcW w:w="4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100" w:type="dxa"/>
            <w:vAlign w:val="bottom"/>
            <w:shd w:val="clear" w:color="auto" w:fill="EAEBEC"/>
          </w:tcPr>
          <w:p>
            <w:pPr>
              <w:jc w:val="right"/>
              <w:ind w:right="77"/>
              <w:spacing w:after="0"/>
              <w:rPr>
                <w:sz w:val="20"/>
                <w:szCs w:val="20"/>
                <w:color w:val="auto"/>
              </w:rPr>
            </w:pPr>
            <w:r>
              <w:rPr>
                <w:rFonts w:ascii="Times New Roman" w:cs="Times New Roman" w:eastAsia="Times New Roman" w:hAnsi="Times New Roman"/>
                <w:sz w:val="5"/>
                <w:szCs w:val="5"/>
                <w:color w:val="231F20"/>
                <w:w w:val="78"/>
              </w:rPr>
              <w:t>$</w:t>
            </w:r>
          </w:p>
        </w:tc>
        <w:tc>
          <w:tcPr>
            <w:tcW w:w="1320" w:type="dxa"/>
            <w:vAlign w:val="bottom"/>
            <w:gridSpan w:val="3"/>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(1,149,059)</w:t>
            </w: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140" w:type="dxa"/>
            <w:vAlign w:val="bottom"/>
            <w:shd w:val="clear" w:color="auto" w:fill="EAEBEC"/>
          </w:tcPr>
          <w:p>
            <w:pPr>
              <w:jc w:val="right"/>
              <w:ind w:right="117"/>
              <w:spacing w:after="0"/>
              <w:rPr>
                <w:sz w:val="20"/>
                <w:szCs w:val="20"/>
                <w:color w:val="auto"/>
              </w:rPr>
            </w:pPr>
            <w:r>
              <w:rPr>
                <w:rFonts w:ascii="Times New Roman" w:cs="Times New Roman" w:eastAsia="Times New Roman" w:hAnsi="Times New Roman"/>
                <w:sz w:val="5"/>
                <w:szCs w:val="5"/>
                <w:color w:val="231F20"/>
                <w:w w:val="78"/>
              </w:rPr>
              <w:t>$</w:t>
            </w:r>
          </w:p>
        </w:tc>
        <w:tc>
          <w:tcPr>
            <w:tcW w:w="12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(18,083)</w:t>
            </w:r>
          </w:p>
        </w:tc>
        <w:tc>
          <w:tcPr>
            <w:tcW w:w="6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spacing w:after="0"/>
              <w:rPr>
                <w:sz w:val="14"/>
                <w:szCs w:val="14"/>
                <w:color w:val="auto"/>
              </w:rPr>
            </w:pPr>
          </w:p>
        </w:tc>
        <w:tc>
          <w:tcPr>
            <w:tcW w:w="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1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1,113,630</w:t>
            </w:r>
          </w:p>
        </w:tc>
        <w:tc>
          <w:tcPr>
            <w:tcW w:w="60" w:type="dxa"/>
            <w:vAlign w:val="bottom"/>
            <w:shd w:val="clear" w:color="auto" w:fill="EAEBE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EAEBEC"/>
              <w:bottom w:val="single" w:sz="8" w:color="EAEBEC"/>
            </w:tcBorders>
            <w:vMerge w:val="restart"/>
          </w:tcPr>
          <w:p>
            <w:pPr>
              <w:spacing w:after="0" w:line="125" w:lineRule="exact"/>
              <w:rPr>
                <w:sz w:val="20"/>
                <w:szCs w:val="20"/>
                <w:color w:val="auto"/>
              </w:rPr>
            </w:pPr>
            <w:r>
              <w:rPr>
                <w:rFonts w:ascii="Times New Roman" w:cs="Times New Roman" w:eastAsia="Times New Roman" w:hAnsi="Times New Roman"/>
                <w:sz w:val="12"/>
                <w:szCs w:val="12"/>
                <w:color w:val="231F20"/>
              </w:rPr>
              <w:t>Equity-based compensation expense</w:t>
            </w:r>
          </w:p>
        </w:tc>
        <w:tc>
          <w:tcPr>
            <w:tcW w:w="80" w:type="dxa"/>
            <w:vAlign w:val="bottom"/>
            <w:tcBorders>
              <w:top w:val="single" w:sz="8" w:color="231F20"/>
              <w:bottom w:val="single" w:sz="8" w:color="231F20"/>
            </w:tcBorders>
            <w:gridSpan w:val="4"/>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EAEBEC"/>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EAEBEC"/>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EAEBEC"/>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EAEBEC"/>
            </w:tcBorders>
          </w:tcPr>
          <w:p>
            <w:pPr>
              <w:spacing w:after="0" w:line="20" w:lineRule="exact"/>
              <w:rPr>
                <w:sz w:val="1"/>
                <w:szCs w:val="1"/>
                <w:color w:val="auto"/>
              </w:rPr>
            </w:pPr>
          </w:p>
        </w:tc>
        <w:tc>
          <w:tcPr>
            <w:tcW w:w="40" w:type="dxa"/>
            <w:vAlign w:val="bottom"/>
            <w:tcBorders>
              <w:top w:val="single" w:sz="8" w:color="EAEBEC"/>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EAEBEC"/>
            </w:tcBorders>
          </w:tcPr>
          <w:p>
            <w:pPr>
              <w:spacing w:after="0" w:line="20" w:lineRule="exact"/>
              <w:rPr>
                <w:sz w:val="1"/>
                <w:szCs w:val="1"/>
                <w:color w:val="auto"/>
              </w:rPr>
            </w:pPr>
          </w:p>
        </w:tc>
        <w:tc>
          <w:tcPr>
            <w:tcW w:w="40" w:type="dxa"/>
            <w:vAlign w:val="bottom"/>
            <w:tcBorders>
              <w:top w:val="single" w:sz="8" w:color="EAEBEC"/>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EAEBEC"/>
            </w:tcBorders>
          </w:tcPr>
          <w:p>
            <w:pPr>
              <w:spacing w:after="0" w:line="20" w:lineRule="exact"/>
              <w:rPr>
                <w:sz w:val="1"/>
                <w:szCs w:val="1"/>
                <w:color w:val="auto"/>
              </w:rPr>
            </w:pPr>
          </w:p>
        </w:tc>
        <w:tc>
          <w:tcPr>
            <w:tcW w:w="20" w:type="dxa"/>
            <w:vAlign w:val="bottom"/>
            <w:tcBorders>
              <w:top w:val="single" w:sz="8" w:color="EAEBEC"/>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2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Borders>
              <w:top w:val="single" w:sz="8" w:color="EAEBEC"/>
            </w:tcBorders>
          </w:tcPr>
          <w:p>
            <w:pPr>
              <w:spacing w:after="0" w:line="20" w:lineRule="exact"/>
              <w:rPr>
                <w:sz w:val="1"/>
                <w:szCs w:val="1"/>
                <w:color w:val="auto"/>
              </w:rPr>
            </w:pPr>
          </w:p>
        </w:tc>
        <w:tc>
          <w:tcPr>
            <w:tcW w:w="60" w:type="dxa"/>
            <w:vAlign w:val="bottom"/>
            <w:tcBorders>
              <w:top w:val="single" w:sz="8" w:color="EAEBEC"/>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AEBE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4440" w:type="dxa"/>
            <w:vAlign w:val="bottom"/>
            <w:vMerge w:val="continue"/>
          </w:tcPr>
          <w:p>
            <w:pPr>
              <w:spacing w:after="0"/>
              <w:rPr>
                <w:sz w:val="7"/>
                <w:szCs w:val="7"/>
                <w:color w:val="auto"/>
              </w:rPr>
            </w:pPr>
          </w:p>
        </w:tc>
        <w:tc>
          <w:tcPr>
            <w:tcW w:w="80" w:type="dxa"/>
            <w:vAlign w:val="bottom"/>
            <w:gridSpan w:val="4"/>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452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231F20"/>
              </w:rPr>
              <w:t>(Note 11)</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32,694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5"/>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231F20"/>
              </w:rPr>
              <w:t>32,694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gridSpan w:val="5"/>
            <w:shd w:val="clear" w:color="auto" w:fill="EAEBEC"/>
          </w:tcPr>
          <w:p>
            <w:pPr>
              <w:spacing w:after="0"/>
              <w:rPr>
                <w:sz w:val="20"/>
                <w:szCs w:val="20"/>
                <w:color w:val="auto"/>
              </w:rPr>
            </w:pPr>
            <w:r>
              <w:rPr>
                <w:rFonts w:ascii="Times New Roman" w:cs="Times New Roman" w:eastAsia="Times New Roman" w:hAnsi="Times New Roman"/>
                <w:sz w:val="12"/>
                <w:szCs w:val="12"/>
                <w:color w:val="231F20"/>
              </w:rPr>
              <w:t>Net Income</w:t>
            </w:r>
          </w:p>
        </w:tc>
        <w:tc>
          <w:tcPr>
            <w:tcW w:w="10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1100" w:type="dxa"/>
            <w:vAlign w:val="bottom"/>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1120" w:type="dxa"/>
            <w:vAlign w:val="bottom"/>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180" w:type="dxa"/>
            <w:vAlign w:val="bottom"/>
            <w:shd w:val="clear" w:color="auto" w:fill="EAEBEC"/>
          </w:tcPr>
          <w:p>
            <w:pPr>
              <w:spacing w:after="0"/>
              <w:rPr>
                <w:sz w:val="12"/>
                <w:szCs w:val="12"/>
                <w:color w:val="auto"/>
              </w:rPr>
            </w:pPr>
          </w:p>
        </w:tc>
        <w:tc>
          <w:tcPr>
            <w:tcW w:w="98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1140" w:type="dxa"/>
            <w:vAlign w:val="bottom"/>
            <w:gridSpan w:val="3"/>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100" w:type="dxa"/>
            <w:vAlign w:val="bottom"/>
            <w:shd w:val="clear" w:color="auto" w:fill="EAEBEC"/>
          </w:tcPr>
          <w:p>
            <w:pPr>
              <w:spacing w:after="0"/>
              <w:rPr>
                <w:sz w:val="12"/>
                <w:szCs w:val="12"/>
                <w:color w:val="auto"/>
              </w:rPr>
            </w:pPr>
          </w:p>
        </w:tc>
        <w:tc>
          <w:tcPr>
            <w:tcW w:w="12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9,066</w:t>
            </w: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140" w:type="dxa"/>
            <w:vAlign w:val="bottom"/>
            <w:shd w:val="clear" w:color="auto" w:fill="EAEBEC"/>
          </w:tcPr>
          <w:p>
            <w:pPr>
              <w:spacing w:after="0"/>
              <w:rPr>
                <w:sz w:val="12"/>
                <w:szCs w:val="12"/>
                <w:color w:val="auto"/>
              </w:rPr>
            </w:pPr>
          </w:p>
        </w:tc>
        <w:tc>
          <w:tcPr>
            <w:tcW w:w="1360" w:type="dxa"/>
            <w:vAlign w:val="bottom"/>
            <w:gridSpan w:val="5"/>
            <w:shd w:val="clear" w:color="auto" w:fill="EAEBE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2"/>
                <w:szCs w:val="12"/>
                <w:color w:val="auto"/>
              </w:rPr>
            </w:pPr>
          </w:p>
        </w:tc>
        <w:tc>
          <w:tcPr>
            <w:tcW w:w="20" w:type="dxa"/>
            <w:vAlign w:val="bottom"/>
            <w:shd w:val="clear" w:color="auto" w:fill="EAEBEC"/>
          </w:tcPr>
          <w:p>
            <w:pPr>
              <w:spacing w:after="0"/>
              <w:rPr>
                <w:sz w:val="12"/>
                <w:szCs w:val="12"/>
                <w:color w:val="auto"/>
              </w:rPr>
            </w:pPr>
          </w:p>
        </w:tc>
        <w:tc>
          <w:tcPr>
            <w:tcW w:w="11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9,066</w:t>
            </w:r>
          </w:p>
        </w:tc>
        <w:tc>
          <w:tcPr>
            <w:tcW w:w="60" w:type="dxa"/>
            <w:vAlign w:val="bottom"/>
            <w:shd w:val="clear" w:color="auto" w:fill="EAEBE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520" w:type="dxa"/>
            <w:vAlign w:val="bottom"/>
            <w:gridSpan w:val="5"/>
          </w:tcPr>
          <w:p>
            <w:pPr>
              <w:spacing w:after="0" w:line="121" w:lineRule="exact"/>
              <w:rPr>
                <w:sz w:val="20"/>
                <w:szCs w:val="20"/>
                <w:color w:val="auto"/>
              </w:rPr>
            </w:pPr>
            <w:r>
              <w:rPr>
                <w:rFonts w:ascii="Times New Roman" w:cs="Times New Roman" w:eastAsia="Times New Roman" w:hAnsi="Times New Roman"/>
                <w:sz w:val="12"/>
                <w:szCs w:val="12"/>
                <w:color w:val="231F20"/>
              </w:rPr>
              <w:t>Foreign currency translation</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7"/>
            <w:vMerge w:val="restart"/>
          </w:tcPr>
          <w:p>
            <w:pPr>
              <w:jc w:val="right"/>
              <w:ind w:right="140"/>
              <w:spacing w:after="0"/>
              <w:rPr>
                <w:sz w:val="20"/>
                <w:szCs w:val="20"/>
                <w:color w:val="auto"/>
              </w:rPr>
            </w:pPr>
            <w:r>
              <w:rPr>
                <w:rFonts w:ascii="Times New Roman" w:cs="Times New Roman" w:eastAsia="Times New Roman" w:hAnsi="Times New Roman"/>
                <w:sz w:val="12"/>
                <w:szCs w:val="12"/>
                <w:color w:val="231F20"/>
              </w:rPr>
              <w:t>—</w:t>
            </w:r>
          </w:p>
        </w:tc>
        <w:tc>
          <w:tcPr>
            <w:tcW w:w="14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10,699</w:t>
            </w:r>
          </w:p>
        </w:tc>
        <w:tc>
          <w:tcPr>
            <w:tcW w:w="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10,699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52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231F20"/>
              </w:rPr>
              <w:t>adjustment, net of tax of $3,726</w:t>
            </w:r>
          </w:p>
        </w:tc>
        <w:tc>
          <w:tcPr>
            <w:tcW w:w="10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7"/>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520" w:type="dxa"/>
            <w:vAlign w:val="bottom"/>
            <w:gridSpan w:val="5"/>
            <w:shd w:val="clear" w:color="auto" w:fill="EAEBEC"/>
          </w:tcPr>
          <w:p>
            <w:pPr>
              <w:spacing w:after="0" w:line="124" w:lineRule="exact"/>
              <w:rPr>
                <w:sz w:val="20"/>
                <w:szCs w:val="20"/>
                <w:color w:val="auto"/>
              </w:rPr>
            </w:pPr>
            <w:r>
              <w:rPr>
                <w:rFonts w:ascii="Times New Roman" w:cs="Times New Roman" w:eastAsia="Times New Roman" w:hAnsi="Times New Roman"/>
                <w:sz w:val="12"/>
                <w:szCs w:val="12"/>
                <w:color w:val="231F20"/>
              </w:rPr>
              <w:t>Unrealized loss on derivatives,</w:t>
            </w:r>
          </w:p>
        </w:tc>
        <w:tc>
          <w:tcPr>
            <w:tcW w:w="1040" w:type="dxa"/>
            <w:vAlign w:val="bottom"/>
            <w:vMerge w:val="restart"/>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0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2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80" w:type="dxa"/>
            <w:vAlign w:val="bottom"/>
            <w:shd w:val="clear" w:color="auto" w:fill="EAEBEC"/>
          </w:tcPr>
          <w:p>
            <w:pPr>
              <w:spacing w:after="0"/>
              <w:rPr>
                <w:sz w:val="10"/>
                <w:szCs w:val="10"/>
                <w:color w:val="auto"/>
              </w:rPr>
            </w:pPr>
          </w:p>
        </w:tc>
        <w:tc>
          <w:tcPr>
            <w:tcW w:w="980" w:type="dxa"/>
            <w:vAlign w:val="bottom"/>
            <w:gridSpan w:val="2"/>
            <w:vMerge w:val="restart"/>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40" w:type="dxa"/>
            <w:vAlign w:val="bottom"/>
            <w:gridSpan w:val="3"/>
            <w:vMerge w:val="restart"/>
            <w:shd w:val="clear" w:color="auto" w:fill="EAEBEC"/>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00" w:type="dxa"/>
            <w:vAlign w:val="bottom"/>
            <w:shd w:val="clear" w:color="auto" w:fill="EAEBEC"/>
          </w:tcPr>
          <w:p>
            <w:pPr>
              <w:spacing w:after="0"/>
              <w:rPr>
                <w:sz w:val="10"/>
                <w:szCs w:val="10"/>
                <w:color w:val="auto"/>
              </w:rPr>
            </w:pPr>
          </w:p>
        </w:tc>
        <w:tc>
          <w:tcPr>
            <w:tcW w:w="1400" w:type="dxa"/>
            <w:vAlign w:val="bottom"/>
            <w:gridSpan w:val="7"/>
            <w:vMerge w:val="restart"/>
            <w:shd w:val="clear" w:color="auto" w:fill="EAEBEC"/>
          </w:tcPr>
          <w:p>
            <w:pPr>
              <w:jc w:val="right"/>
              <w:ind w:right="140"/>
              <w:spacing w:after="0"/>
              <w:rPr>
                <w:sz w:val="20"/>
                <w:szCs w:val="20"/>
                <w:color w:val="auto"/>
              </w:rPr>
            </w:pPr>
            <w:r>
              <w:rPr>
                <w:rFonts w:ascii="Times New Roman" w:cs="Times New Roman" w:eastAsia="Times New Roman" w:hAnsi="Times New Roman"/>
                <w:sz w:val="12"/>
                <w:szCs w:val="12"/>
                <w:color w:val="231F20"/>
              </w:rPr>
              <w:t>—</w:t>
            </w:r>
          </w:p>
        </w:tc>
        <w:tc>
          <w:tcPr>
            <w:tcW w:w="140" w:type="dxa"/>
            <w:vAlign w:val="bottom"/>
            <w:shd w:val="clear" w:color="auto" w:fill="EAEBEC"/>
          </w:tcPr>
          <w:p>
            <w:pPr>
              <w:spacing w:after="0"/>
              <w:rPr>
                <w:sz w:val="10"/>
                <w:szCs w:val="10"/>
                <w:color w:val="auto"/>
              </w:rPr>
            </w:pPr>
          </w:p>
        </w:tc>
        <w:tc>
          <w:tcPr>
            <w:tcW w:w="1320" w:type="dxa"/>
            <w:vAlign w:val="bottom"/>
            <w:gridSpan w:val="3"/>
            <w:vMerge w:val="restart"/>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(587)</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6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(587)</w:t>
            </w:r>
          </w:p>
        </w:tc>
        <w:tc>
          <w:tcPr>
            <w:tcW w:w="0" w:type="dxa"/>
            <w:vAlign w:val="bottom"/>
          </w:tcPr>
          <w:p>
            <w:pPr>
              <w:spacing w:after="0"/>
              <w:rPr>
                <w:sz w:val="1"/>
                <w:szCs w:val="1"/>
                <w:color w:val="auto"/>
              </w:rPr>
            </w:pPr>
          </w:p>
        </w:tc>
      </w:tr>
      <w:tr>
        <w:trPr>
          <w:trHeight w:val="158"/>
        </w:trPr>
        <w:tc>
          <w:tcPr>
            <w:tcW w:w="4520" w:type="dxa"/>
            <w:vAlign w:val="bottom"/>
            <w:gridSpan w:val="5"/>
            <w:shd w:val="clear" w:color="auto" w:fill="EAEBEC"/>
          </w:tcPr>
          <w:p>
            <w:pPr>
              <w:ind w:left="100"/>
              <w:spacing w:after="0"/>
              <w:rPr>
                <w:sz w:val="20"/>
                <w:szCs w:val="20"/>
                <w:color w:val="auto"/>
              </w:rPr>
            </w:pPr>
            <w:r>
              <w:rPr>
                <w:rFonts w:ascii="Times New Roman" w:cs="Times New Roman" w:eastAsia="Times New Roman" w:hAnsi="Times New Roman"/>
                <w:sz w:val="12"/>
                <w:szCs w:val="12"/>
                <w:color w:val="231F20"/>
              </w:rPr>
              <w:t>net of tax of $(192) (Note 8)</w:t>
            </w:r>
          </w:p>
        </w:tc>
        <w:tc>
          <w:tcPr>
            <w:tcW w:w="1040" w:type="dxa"/>
            <w:vAlign w:val="bottom"/>
            <w:vMerge w:val="continue"/>
            <w:shd w:val="clear" w:color="auto" w:fill="EAEBEC"/>
          </w:tcPr>
          <w:p>
            <w:pPr>
              <w:spacing w:after="0"/>
              <w:rPr>
                <w:sz w:val="13"/>
                <w:szCs w:val="13"/>
                <w:color w:val="auto"/>
              </w:rPr>
            </w:pPr>
          </w:p>
        </w:tc>
        <w:tc>
          <w:tcPr>
            <w:tcW w:w="4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00" w:type="dxa"/>
            <w:vAlign w:val="bottom"/>
            <w:gridSpan w:val="2"/>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20" w:type="dxa"/>
            <w:vAlign w:val="bottom"/>
            <w:gridSpan w:val="2"/>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80" w:type="dxa"/>
            <w:vAlign w:val="bottom"/>
            <w:shd w:val="clear" w:color="auto" w:fill="EAEBEC"/>
          </w:tcPr>
          <w:p>
            <w:pPr>
              <w:spacing w:after="0"/>
              <w:rPr>
                <w:sz w:val="13"/>
                <w:szCs w:val="13"/>
                <w:color w:val="auto"/>
              </w:rPr>
            </w:pPr>
          </w:p>
        </w:tc>
        <w:tc>
          <w:tcPr>
            <w:tcW w:w="980" w:type="dxa"/>
            <w:vAlign w:val="bottom"/>
            <w:gridSpan w:val="2"/>
            <w:vMerge w:val="continue"/>
            <w:shd w:val="clear" w:color="auto" w:fill="EAEBEC"/>
          </w:tcPr>
          <w:p>
            <w:pPr>
              <w:spacing w:after="0"/>
              <w:rPr>
                <w:sz w:val="13"/>
                <w:szCs w:val="13"/>
                <w:color w:val="auto"/>
              </w:rPr>
            </w:pPr>
          </w:p>
        </w:tc>
        <w:tc>
          <w:tcPr>
            <w:tcW w:w="4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40" w:type="dxa"/>
            <w:vAlign w:val="bottom"/>
            <w:gridSpan w:val="3"/>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00" w:type="dxa"/>
            <w:vAlign w:val="bottom"/>
            <w:shd w:val="clear" w:color="auto" w:fill="EAEBEC"/>
          </w:tcPr>
          <w:p>
            <w:pPr>
              <w:spacing w:after="0"/>
              <w:rPr>
                <w:sz w:val="13"/>
                <w:szCs w:val="13"/>
                <w:color w:val="auto"/>
              </w:rPr>
            </w:pPr>
          </w:p>
        </w:tc>
        <w:tc>
          <w:tcPr>
            <w:tcW w:w="1400" w:type="dxa"/>
            <w:vAlign w:val="bottom"/>
            <w:gridSpan w:val="7"/>
            <w:vMerge w:val="continue"/>
            <w:shd w:val="clear" w:color="auto" w:fill="EAEBEC"/>
          </w:tcPr>
          <w:p>
            <w:pPr>
              <w:spacing w:after="0"/>
              <w:rPr>
                <w:sz w:val="13"/>
                <w:szCs w:val="13"/>
                <w:color w:val="auto"/>
              </w:rPr>
            </w:pPr>
          </w:p>
        </w:tc>
        <w:tc>
          <w:tcPr>
            <w:tcW w:w="140" w:type="dxa"/>
            <w:vAlign w:val="bottom"/>
            <w:shd w:val="clear" w:color="auto" w:fill="EAEBEC"/>
          </w:tcPr>
          <w:p>
            <w:pPr>
              <w:spacing w:after="0"/>
              <w:rPr>
                <w:sz w:val="13"/>
                <w:szCs w:val="13"/>
                <w:color w:val="auto"/>
              </w:rPr>
            </w:pPr>
          </w:p>
        </w:tc>
        <w:tc>
          <w:tcPr>
            <w:tcW w:w="1320" w:type="dxa"/>
            <w:vAlign w:val="bottom"/>
            <w:gridSpan w:val="3"/>
            <w:vMerge w:val="continue"/>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20" w:type="dxa"/>
            <w:vAlign w:val="bottom"/>
            <w:shd w:val="clear" w:color="auto" w:fill="EAEBEC"/>
          </w:tcPr>
          <w:p>
            <w:pPr>
              <w:spacing w:after="0"/>
              <w:rPr>
                <w:sz w:val="13"/>
                <w:szCs w:val="13"/>
                <w:color w:val="auto"/>
              </w:rPr>
            </w:pPr>
          </w:p>
        </w:tc>
        <w:tc>
          <w:tcPr>
            <w:tcW w:w="1160" w:type="dxa"/>
            <w:vAlign w:val="bottom"/>
            <w:gridSpan w:val="2"/>
            <w:vMerge w:val="continue"/>
            <w:shd w:val="clear" w:color="auto" w:fill="EAEBE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520" w:type="dxa"/>
            <w:vAlign w:val="bottom"/>
            <w:gridSpan w:val="5"/>
          </w:tcPr>
          <w:p>
            <w:pPr>
              <w:spacing w:after="0" w:line="121" w:lineRule="exact"/>
              <w:rPr>
                <w:sz w:val="20"/>
                <w:szCs w:val="20"/>
                <w:color w:val="auto"/>
              </w:rPr>
            </w:pPr>
            <w:r>
              <w:rPr>
                <w:rFonts w:ascii="Times New Roman" w:cs="Times New Roman" w:eastAsia="Times New Roman" w:hAnsi="Times New Roman"/>
                <w:sz w:val="12"/>
                <w:szCs w:val="12"/>
                <w:color w:val="231F20"/>
              </w:rPr>
              <w:t>Gains on derivatives reclassified to</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7"/>
            <w:vMerge w:val="restart"/>
          </w:tcPr>
          <w:p>
            <w:pPr>
              <w:jc w:val="right"/>
              <w:ind w:right="140"/>
              <w:spacing w:after="0"/>
              <w:rPr>
                <w:sz w:val="20"/>
                <w:szCs w:val="20"/>
                <w:color w:val="auto"/>
              </w:rPr>
            </w:pPr>
            <w:r>
              <w:rPr>
                <w:rFonts w:ascii="Times New Roman" w:cs="Times New Roman" w:eastAsia="Times New Roman" w:hAnsi="Times New Roman"/>
                <w:sz w:val="12"/>
                <w:szCs w:val="12"/>
                <w:color w:val="231F20"/>
              </w:rPr>
              <w:t>—</w:t>
            </w:r>
          </w:p>
        </w:tc>
        <w:tc>
          <w:tcPr>
            <w:tcW w:w="140" w:type="dxa"/>
            <w:vAlign w:val="bottom"/>
          </w:tcPr>
          <w:p>
            <w:pPr>
              <w:spacing w:after="0"/>
              <w:rPr>
                <w:sz w:val="10"/>
                <w:szCs w:val="10"/>
                <w:color w:val="auto"/>
              </w:rPr>
            </w:pPr>
          </w:p>
        </w:tc>
        <w:tc>
          <w:tcPr>
            <w:tcW w:w="13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2"/>
                <w:szCs w:val="12"/>
                <w:color w:val="231F20"/>
              </w:rPr>
              <w:t>(418)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231F20"/>
              </w:rPr>
              <w:t>(418)</w:t>
            </w:r>
          </w:p>
        </w:tc>
        <w:tc>
          <w:tcPr>
            <w:tcW w:w="0" w:type="dxa"/>
            <w:vAlign w:val="bottom"/>
          </w:tcPr>
          <w:p>
            <w:pPr>
              <w:spacing w:after="0"/>
              <w:rPr>
                <w:sz w:val="1"/>
                <w:szCs w:val="1"/>
                <w:color w:val="auto"/>
              </w:rPr>
            </w:pPr>
          </w:p>
        </w:tc>
      </w:tr>
      <w:tr>
        <w:trPr>
          <w:trHeight w:val="155"/>
        </w:trPr>
        <w:tc>
          <w:tcPr>
            <w:tcW w:w="452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231F20"/>
              </w:rPr>
              <w:t>income, net of tax of $(137) (Note 8)</w:t>
            </w:r>
          </w:p>
        </w:tc>
        <w:tc>
          <w:tcPr>
            <w:tcW w:w="10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7"/>
            <w:vMerge w:val="continue"/>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520" w:type="dxa"/>
            <w:vAlign w:val="bottom"/>
            <w:gridSpan w:val="5"/>
            <w:shd w:val="clear" w:color="auto" w:fill="EAEBEC"/>
          </w:tcPr>
          <w:p>
            <w:pPr>
              <w:spacing w:after="0" w:line="124" w:lineRule="exact"/>
              <w:rPr>
                <w:sz w:val="20"/>
                <w:szCs w:val="20"/>
                <w:color w:val="auto"/>
              </w:rPr>
            </w:pPr>
            <w:r>
              <w:rPr>
                <w:rFonts w:ascii="Times New Roman" w:cs="Times New Roman" w:eastAsia="Times New Roman" w:hAnsi="Times New Roman"/>
                <w:sz w:val="12"/>
                <w:szCs w:val="12"/>
                <w:color w:val="231F20"/>
              </w:rPr>
              <w:t>Issuance of common stock,</w:t>
            </w:r>
          </w:p>
        </w:tc>
        <w:tc>
          <w:tcPr>
            <w:tcW w:w="1040" w:type="dxa"/>
            <w:vAlign w:val="bottom"/>
            <w:vMerge w:val="restart"/>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4,653</w:t>
            </w:r>
          </w:p>
        </w:tc>
        <w:tc>
          <w:tcPr>
            <w:tcW w:w="4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0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2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80" w:type="dxa"/>
            <w:vAlign w:val="bottom"/>
            <w:shd w:val="clear" w:color="auto" w:fill="EAEBEC"/>
          </w:tcPr>
          <w:p>
            <w:pPr>
              <w:spacing w:after="0"/>
              <w:rPr>
                <w:sz w:val="10"/>
                <w:szCs w:val="10"/>
                <w:color w:val="auto"/>
              </w:rPr>
            </w:pPr>
          </w:p>
        </w:tc>
        <w:tc>
          <w:tcPr>
            <w:tcW w:w="960" w:type="dxa"/>
            <w:vAlign w:val="bottom"/>
            <w:vMerge w:val="restart"/>
            <w:shd w:val="clear" w:color="auto" w:fill="EAEBEC"/>
          </w:tcPr>
          <w:p>
            <w:pPr>
              <w:jc w:val="right"/>
              <w:spacing w:after="0"/>
              <w:rPr>
                <w:sz w:val="20"/>
                <w:szCs w:val="20"/>
                <w:color w:val="auto"/>
              </w:rPr>
            </w:pPr>
            <w:r>
              <w:rPr>
                <w:rFonts w:ascii="Times New Roman" w:cs="Times New Roman" w:eastAsia="Times New Roman" w:hAnsi="Times New Roman"/>
                <w:sz w:val="12"/>
                <w:szCs w:val="12"/>
                <w:color w:val="231F20"/>
              </w:rPr>
              <w:t>5</w:t>
            </w:r>
          </w:p>
        </w:tc>
        <w:tc>
          <w:tcPr>
            <w:tcW w:w="20" w:type="dxa"/>
            <w:vAlign w:val="bottom"/>
            <w:shd w:val="clear" w:color="auto" w:fill="EAEBEC"/>
          </w:tcPr>
          <w:p>
            <w:pPr>
              <w:spacing w:after="0"/>
              <w:rPr>
                <w:sz w:val="10"/>
                <w:szCs w:val="10"/>
                <w:color w:val="auto"/>
              </w:rPr>
            </w:pPr>
          </w:p>
        </w:tc>
        <w:tc>
          <w:tcPr>
            <w:tcW w:w="4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40" w:type="dxa"/>
            <w:vAlign w:val="bottom"/>
            <w:gridSpan w:val="3"/>
            <w:vMerge w:val="restart"/>
            <w:shd w:val="clear" w:color="auto" w:fill="EAEBEC"/>
          </w:tcPr>
          <w:p>
            <w:pPr>
              <w:jc w:val="right"/>
              <w:ind w:right="20"/>
              <w:spacing w:after="0"/>
              <w:rPr>
                <w:sz w:val="20"/>
                <w:szCs w:val="20"/>
                <w:color w:val="auto"/>
              </w:rPr>
            </w:pPr>
            <w:r>
              <w:rPr>
                <w:rFonts w:ascii="Times New Roman" w:cs="Times New Roman" w:eastAsia="Times New Roman" w:hAnsi="Times New Roman"/>
                <w:sz w:val="12"/>
                <w:szCs w:val="12"/>
                <w:color w:val="231F20"/>
              </w:rPr>
              <w:t>(835)</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00" w:type="dxa"/>
            <w:vAlign w:val="bottom"/>
            <w:shd w:val="clear" w:color="auto" w:fill="EAEBEC"/>
          </w:tcPr>
          <w:p>
            <w:pPr>
              <w:spacing w:after="0"/>
              <w:rPr>
                <w:sz w:val="10"/>
                <w:szCs w:val="10"/>
                <w:color w:val="auto"/>
              </w:rPr>
            </w:pPr>
          </w:p>
        </w:tc>
        <w:tc>
          <w:tcPr>
            <w:tcW w:w="1400" w:type="dxa"/>
            <w:vAlign w:val="bottom"/>
            <w:gridSpan w:val="7"/>
            <w:vMerge w:val="restart"/>
            <w:shd w:val="clear" w:color="auto" w:fill="EAEBEC"/>
          </w:tcPr>
          <w:p>
            <w:pPr>
              <w:jc w:val="right"/>
              <w:ind w:right="140"/>
              <w:spacing w:after="0"/>
              <w:rPr>
                <w:sz w:val="20"/>
                <w:szCs w:val="20"/>
                <w:color w:val="auto"/>
              </w:rPr>
            </w:pPr>
            <w:r>
              <w:rPr>
                <w:rFonts w:ascii="Times New Roman" w:cs="Times New Roman" w:eastAsia="Times New Roman" w:hAnsi="Times New Roman"/>
                <w:sz w:val="12"/>
                <w:szCs w:val="12"/>
                <w:color w:val="231F20"/>
              </w:rPr>
              <w:t>—</w:t>
            </w:r>
          </w:p>
        </w:tc>
        <w:tc>
          <w:tcPr>
            <w:tcW w:w="140" w:type="dxa"/>
            <w:vAlign w:val="bottom"/>
            <w:shd w:val="clear" w:color="auto" w:fill="EAEBEC"/>
          </w:tcPr>
          <w:p>
            <w:pPr>
              <w:spacing w:after="0"/>
              <w:rPr>
                <w:sz w:val="10"/>
                <w:szCs w:val="10"/>
                <w:color w:val="auto"/>
              </w:rPr>
            </w:pPr>
          </w:p>
        </w:tc>
        <w:tc>
          <w:tcPr>
            <w:tcW w:w="1360" w:type="dxa"/>
            <w:vAlign w:val="bottom"/>
            <w:gridSpan w:val="5"/>
            <w:vMerge w:val="restart"/>
            <w:shd w:val="clear" w:color="auto" w:fill="EAEBE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EAEBEC"/>
          </w:tcPr>
          <w:p>
            <w:pPr>
              <w:spacing w:after="0"/>
              <w:rPr>
                <w:sz w:val="10"/>
                <w:szCs w:val="10"/>
                <w:color w:val="auto"/>
              </w:rPr>
            </w:pPr>
          </w:p>
        </w:tc>
        <w:tc>
          <w:tcPr>
            <w:tcW w:w="20" w:type="dxa"/>
            <w:vAlign w:val="bottom"/>
            <w:shd w:val="clear" w:color="auto" w:fill="EAEBEC"/>
          </w:tcPr>
          <w:p>
            <w:pPr>
              <w:spacing w:after="0"/>
              <w:rPr>
                <w:sz w:val="10"/>
                <w:szCs w:val="10"/>
                <w:color w:val="auto"/>
              </w:rPr>
            </w:pPr>
          </w:p>
        </w:tc>
        <w:tc>
          <w:tcPr>
            <w:tcW w:w="1160" w:type="dxa"/>
            <w:vAlign w:val="bottom"/>
            <w:gridSpan w:val="2"/>
            <w:vMerge w:val="restart"/>
            <w:shd w:val="clear" w:color="auto" w:fill="EAEBEC"/>
          </w:tcPr>
          <w:p>
            <w:pPr>
              <w:jc w:val="right"/>
              <w:ind w:right="40"/>
              <w:spacing w:after="0"/>
              <w:rPr>
                <w:sz w:val="20"/>
                <w:szCs w:val="20"/>
                <w:color w:val="auto"/>
              </w:rPr>
            </w:pPr>
            <w:r>
              <w:rPr>
                <w:rFonts w:ascii="Times New Roman" w:cs="Times New Roman" w:eastAsia="Times New Roman" w:hAnsi="Times New Roman"/>
                <w:sz w:val="12"/>
                <w:szCs w:val="12"/>
                <w:color w:val="231F20"/>
              </w:rPr>
              <w:t>(830)</w:t>
            </w:r>
          </w:p>
        </w:tc>
        <w:tc>
          <w:tcPr>
            <w:tcW w:w="0" w:type="dxa"/>
            <w:vAlign w:val="bottom"/>
          </w:tcPr>
          <w:p>
            <w:pPr>
              <w:spacing w:after="0"/>
              <w:rPr>
                <w:sz w:val="1"/>
                <w:szCs w:val="1"/>
                <w:color w:val="auto"/>
              </w:rPr>
            </w:pPr>
          </w:p>
        </w:tc>
      </w:tr>
      <w:tr>
        <w:trPr>
          <w:trHeight w:val="175"/>
        </w:trPr>
        <w:tc>
          <w:tcPr>
            <w:tcW w:w="4520" w:type="dxa"/>
            <w:vAlign w:val="bottom"/>
            <w:gridSpan w:val="5"/>
            <w:shd w:val="clear" w:color="auto" w:fill="EAEBEC"/>
          </w:tcPr>
          <w:p>
            <w:pPr>
              <w:ind w:left="100"/>
              <w:spacing w:after="0"/>
              <w:rPr>
                <w:sz w:val="20"/>
                <w:szCs w:val="20"/>
                <w:color w:val="auto"/>
              </w:rPr>
            </w:pPr>
            <w:r>
              <w:rPr>
                <w:rFonts w:ascii="Times New Roman" w:cs="Times New Roman" w:eastAsia="Times New Roman" w:hAnsi="Times New Roman"/>
                <w:sz w:val="12"/>
                <w:szCs w:val="12"/>
                <w:color w:val="231F20"/>
              </w:rPr>
              <w:t>net of tax withholdings</w:t>
            </w:r>
          </w:p>
        </w:tc>
        <w:tc>
          <w:tcPr>
            <w:tcW w:w="1040" w:type="dxa"/>
            <w:vAlign w:val="bottom"/>
            <w:vMerge w:val="continue"/>
            <w:shd w:val="clear" w:color="auto" w:fill="EAEBEC"/>
          </w:tcPr>
          <w:p>
            <w:pPr>
              <w:spacing w:after="0"/>
              <w:rPr>
                <w:sz w:val="15"/>
                <w:szCs w:val="15"/>
                <w:color w:val="auto"/>
              </w:rPr>
            </w:pPr>
          </w:p>
        </w:tc>
        <w:tc>
          <w:tcPr>
            <w:tcW w:w="4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1100" w:type="dxa"/>
            <w:vAlign w:val="bottom"/>
            <w:gridSpan w:val="2"/>
            <w:vMerge w:val="continue"/>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1120" w:type="dxa"/>
            <w:vAlign w:val="bottom"/>
            <w:gridSpan w:val="2"/>
            <w:vMerge w:val="continue"/>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180" w:type="dxa"/>
            <w:vAlign w:val="bottom"/>
            <w:shd w:val="clear" w:color="auto" w:fill="EAEBEC"/>
          </w:tcPr>
          <w:p>
            <w:pPr>
              <w:spacing w:after="0"/>
              <w:rPr>
                <w:sz w:val="15"/>
                <w:szCs w:val="15"/>
                <w:color w:val="auto"/>
              </w:rPr>
            </w:pPr>
          </w:p>
        </w:tc>
        <w:tc>
          <w:tcPr>
            <w:tcW w:w="960" w:type="dxa"/>
            <w:vAlign w:val="bottom"/>
            <w:vMerge w:val="continue"/>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4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1140" w:type="dxa"/>
            <w:vAlign w:val="bottom"/>
            <w:gridSpan w:val="3"/>
            <w:vMerge w:val="continue"/>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100" w:type="dxa"/>
            <w:vAlign w:val="bottom"/>
            <w:shd w:val="clear" w:color="auto" w:fill="EAEBEC"/>
          </w:tcPr>
          <w:p>
            <w:pPr>
              <w:spacing w:after="0"/>
              <w:rPr>
                <w:sz w:val="15"/>
                <w:szCs w:val="15"/>
                <w:color w:val="auto"/>
              </w:rPr>
            </w:pPr>
          </w:p>
        </w:tc>
        <w:tc>
          <w:tcPr>
            <w:tcW w:w="1400" w:type="dxa"/>
            <w:vAlign w:val="bottom"/>
            <w:gridSpan w:val="7"/>
            <w:vMerge w:val="continue"/>
            <w:shd w:val="clear" w:color="auto" w:fill="EAEBEC"/>
          </w:tcPr>
          <w:p>
            <w:pPr>
              <w:spacing w:after="0"/>
              <w:rPr>
                <w:sz w:val="15"/>
                <w:szCs w:val="15"/>
                <w:color w:val="auto"/>
              </w:rPr>
            </w:pPr>
          </w:p>
        </w:tc>
        <w:tc>
          <w:tcPr>
            <w:tcW w:w="140" w:type="dxa"/>
            <w:vAlign w:val="bottom"/>
            <w:shd w:val="clear" w:color="auto" w:fill="EAEBEC"/>
          </w:tcPr>
          <w:p>
            <w:pPr>
              <w:spacing w:after="0"/>
              <w:rPr>
                <w:sz w:val="15"/>
                <w:szCs w:val="15"/>
                <w:color w:val="auto"/>
              </w:rPr>
            </w:pPr>
          </w:p>
        </w:tc>
        <w:tc>
          <w:tcPr>
            <w:tcW w:w="1360" w:type="dxa"/>
            <w:vAlign w:val="bottom"/>
            <w:gridSpan w:val="5"/>
            <w:vMerge w:val="continue"/>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20" w:type="dxa"/>
            <w:vAlign w:val="bottom"/>
            <w:shd w:val="clear" w:color="auto" w:fill="EAEBEC"/>
          </w:tcPr>
          <w:p>
            <w:pPr>
              <w:spacing w:after="0"/>
              <w:rPr>
                <w:sz w:val="15"/>
                <w:szCs w:val="15"/>
                <w:color w:val="auto"/>
              </w:rPr>
            </w:pPr>
          </w:p>
        </w:tc>
        <w:tc>
          <w:tcPr>
            <w:tcW w:w="1160" w:type="dxa"/>
            <w:vAlign w:val="bottom"/>
            <w:gridSpan w:val="2"/>
            <w:vMerge w:val="continue"/>
            <w:shd w:val="clear" w:color="auto" w:fill="EAEBEC"/>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4460" w:type="dxa"/>
            <w:vAlign w:val="bottom"/>
            <w:tcBorders>
              <w:top w:val="single" w:sz="8" w:color="EAEBEC"/>
            </w:tcBorders>
            <w:gridSpan w:val="2"/>
          </w:tcPr>
          <w:p>
            <w:pPr>
              <w:spacing w:after="0" w:line="123" w:lineRule="exact"/>
              <w:rPr>
                <w:sz w:val="20"/>
                <w:szCs w:val="20"/>
                <w:color w:val="auto"/>
              </w:rPr>
            </w:pPr>
            <w:r>
              <w:rPr>
                <w:rFonts w:ascii="Times New Roman" w:cs="Times New Roman" w:eastAsia="Times New Roman" w:hAnsi="Times New Roman"/>
                <w:sz w:val="12"/>
                <w:szCs w:val="12"/>
                <w:b w:val="1"/>
                <w:bCs w:val="1"/>
                <w:color w:val="231F20"/>
              </w:rPr>
              <w:t>Balance at January 31, 2026</w:t>
            </w:r>
          </w:p>
        </w:tc>
        <w:tc>
          <w:tcPr>
            <w:tcW w:w="60" w:type="dxa"/>
            <w:vAlign w:val="bottom"/>
            <w:tcBorders>
              <w:top w:val="single" w:sz="8" w:color="231F20"/>
            </w:tcBorders>
            <w:gridSpan w:val="3"/>
          </w:tcPr>
          <w:p>
            <w:pPr>
              <w:spacing w:after="0"/>
              <w:rPr>
                <w:sz w:val="10"/>
                <w:szCs w:val="10"/>
                <w:color w:val="auto"/>
              </w:rPr>
            </w:pPr>
          </w:p>
        </w:tc>
        <w:tc>
          <w:tcPr>
            <w:tcW w:w="1040" w:type="dxa"/>
            <w:vAlign w:val="bottom"/>
            <w:tcBorders>
              <w:top w:val="single" w:sz="8" w:color="231F20"/>
            </w:tcBorders>
          </w:tcPr>
          <w:p>
            <w:pPr>
              <w:jc w:val="right"/>
              <w:spacing w:after="0" w:line="123" w:lineRule="exact"/>
              <w:rPr>
                <w:sz w:val="20"/>
                <w:szCs w:val="20"/>
                <w:color w:val="auto"/>
              </w:rPr>
            </w:pPr>
            <w:r>
              <w:rPr>
                <w:rFonts w:ascii="Times New Roman" w:cs="Times New Roman" w:eastAsia="Times New Roman" w:hAnsi="Times New Roman"/>
                <w:sz w:val="12"/>
                <w:szCs w:val="12"/>
                <w:color w:val="231F20"/>
              </w:rPr>
              <w:t>243,719</w:t>
            </w:r>
          </w:p>
        </w:tc>
        <w:tc>
          <w:tcPr>
            <w:tcW w:w="40" w:type="dxa"/>
            <w:vAlign w:val="bottom"/>
            <w:tcBorders>
              <w:top w:val="single" w:sz="8" w:color="EAEBEC"/>
            </w:tcBorders>
          </w:tcPr>
          <w:p>
            <w:pPr>
              <w:spacing w:after="0"/>
              <w:rPr>
                <w:sz w:val="10"/>
                <w:szCs w:val="10"/>
                <w:color w:val="auto"/>
              </w:rPr>
            </w:pPr>
          </w:p>
        </w:tc>
        <w:tc>
          <w:tcPr>
            <w:tcW w:w="20" w:type="dxa"/>
            <w:vAlign w:val="bottom"/>
            <w:tcBorders>
              <w:top w:val="single" w:sz="8" w:color="EAEBEC"/>
            </w:tcBorders>
          </w:tcPr>
          <w:p>
            <w:pPr>
              <w:spacing w:after="0"/>
              <w:rPr>
                <w:sz w:val="10"/>
                <w:szCs w:val="10"/>
                <w:color w:val="auto"/>
              </w:rPr>
            </w:pPr>
          </w:p>
        </w:tc>
        <w:tc>
          <w:tcPr>
            <w:tcW w:w="1120" w:type="dxa"/>
            <w:vAlign w:val="bottom"/>
            <w:tcBorders>
              <w:top w:val="single" w:sz="8" w:color="231F20"/>
            </w:tcBorders>
            <w:gridSpan w:val="3"/>
          </w:tcPr>
          <w:p>
            <w:pPr>
              <w:jc w:val="right"/>
              <w:spacing w:after="0" w:line="123" w:lineRule="exact"/>
              <w:rPr>
                <w:sz w:val="20"/>
                <w:szCs w:val="20"/>
                <w:color w:val="auto"/>
              </w:rPr>
            </w:pPr>
            <w:r>
              <w:rPr>
                <w:rFonts w:ascii="Times New Roman" w:cs="Times New Roman" w:eastAsia="Times New Roman" w:hAnsi="Times New Roman"/>
                <w:sz w:val="12"/>
                <w:szCs w:val="12"/>
                <w:color w:val="231F20"/>
              </w:rPr>
              <w:t>37,791</w:t>
            </w:r>
          </w:p>
        </w:tc>
        <w:tc>
          <w:tcPr>
            <w:tcW w:w="20" w:type="dxa"/>
            <w:vAlign w:val="bottom"/>
            <w:tcBorders>
              <w:top w:val="single" w:sz="8" w:color="EAEBEC"/>
            </w:tcBorders>
          </w:tcPr>
          <w:p>
            <w:pPr>
              <w:spacing w:after="0"/>
              <w:rPr>
                <w:sz w:val="10"/>
                <w:szCs w:val="10"/>
                <w:color w:val="auto"/>
              </w:rPr>
            </w:pPr>
          </w:p>
        </w:tc>
        <w:tc>
          <w:tcPr>
            <w:tcW w:w="20" w:type="dxa"/>
            <w:vAlign w:val="bottom"/>
            <w:tcBorders>
              <w:top w:val="single" w:sz="8" w:color="EAEBEC"/>
            </w:tcBorders>
          </w:tcPr>
          <w:p>
            <w:pPr>
              <w:spacing w:after="0"/>
              <w:rPr>
                <w:sz w:val="10"/>
                <w:szCs w:val="10"/>
                <w:color w:val="auto"/>
              </w:rPr>
            </w:pPr>
          </w:p>
        </w:tc>
        <w:tc>
          <w:tcPr>
            <w:tcW w:w="1140" w:type="dxa"/>
            <w:vAlign w:val="bottom"/>
            <w:tcBorders>
              <w:top w:val="single" w:sz="8" w:color="231F20"/>
            </w:tcBorders>
            <w:gridSpan w:val="3"/>
          </w:tcPr>
          <w:p>
            <w:pPr>
              <w:jc w:val="right"/>
              <w:spacing w:after="0" w:line="123" w:lineRule="exact"/>
              <w:rPr>
                <w:sz w:val="20"/>
                <w:szCs w:val="20"/>
                <w:color w:val="auto"/>
              </w:rPr>
            </w:pPr>
            <w:r>
              <w:rPr>
                <w:rFonts w:ascii="Times New Roman" w:cs="Times New Roman" w:eastAsia="Times New Roman" w:hAnsi="Times New Roman"/>
                <w:sz w:val="12"/>
                <w:szCs w:val="12"/>
                <w:color w:val="231F20"/>
              </w:rPr>
              <w:t>37,791</w:t>
            </w:r>
          </w:p>
        </w:tc>
        <w:tc>
          <w:tcPr>
            <w:tcW w:w="20" w:type="dxa"/>
            <w:vAlign w:val="bottom"/>
            <w:tcBorders>
              <w:top w:val="single" w:sz="8" w:color="EAEBEC"/>
            </w:tcBorders>
          </w:tcPr>
          <w:p>
            <w:pPr>
              <w:spacing w:after="0"/>
              <w:rPr>
                <w:sz w:val="10"/>
                <w:szCs w:val="10"/>
                <w:color w:val="auto"/>
              </w:rPr>
            </w:pPr>
          </w:p>
        </w:tc>
        <w:tc>
          <w:tcPr>
            <w:tcW w:w="20" w:type="dxa"/>
            <w:vAlign w:val="bottom"/>
            <w:tcBorders>
              <w:top w:val="single" w:sz="8" w:color="EAEBEC"/>
            </w:tcBorders>
          </w:tcPr>
          <w:p>
            <w:pPr>
              <w:spacing w:after="0"/>
              <w:rPr>
                <w:sz w:val="10"/>
                <w:szCs w:val="10"/>
                <w:color w:val="auto"/>
              </w:rPr>
            </w:pPr>
          </w:p>
        </w:tc>
        <w:tc>
          <w:tcPr>
            <w:tcW w:w="220" w:type="dxa"/>
            <w:vAlign w:val="bottom"/>
            <w:tcBorders>
              <w:top w:val="single" w:sz="8" w:color="231F20"/>
            </w:tcBorders>
            <w:gridSpan w:val="3"/>
          </w:tcPr>
          <w:p>
            <w:pPr>
              <w:jc w:val="right"/>
              <w:ind w:right="154"/>
              <w:spacing w:after="0"/>
              <w:rPr>
                <w:sz w:val="20"/>
                <w:szCs w:val="20"/>
                <w:color w:val="auto"/>
              </w:rPr>
            </w:pPr>
            <w:r>
              <w:rPr>
                <w:rFonts w:ascii="Times New Roman" w:cs="Times New Roman" w:eastAsia="Times New Roman" w:hAnsi="Times New Roman"/>
                <w:sz w:val="10"/>
                <w:szCs w:val="10"/>
                <w:color w:val="231F20"/>
                <w:w w:val="79"/>
              </w:rPr>
              <w:t>$</w:t>
            </w:r>
          </w:p>
        </w:tc>
        <w:tc>
          <w:tcPr>
            <w:tcW w:w="960" w:type="dxa"/>
            <w:vAlign w:val="bottom"/>
            <w:tcBorders>
              <w:top w:val="single" w:sz="8" w:color="231F20"/>
            </w:tcBorders>
          </w:tcPr>
          <w:p>
            <w:pPr>
              <w:jc w:val="right"/>
              <w:spacing w:after="0" w:line="123" w:lineRule="exact"/>
              <w:rPr>
                <w:sz w:val="20"/>
                <w:szCs w:val="20"/>
                <w:color w:val="auto"/>
              </w:rPr>
            </w:pPr>
            <w:r>
              <w:rPr>
                <w:rFonts w:ascii="Times New Roman" w:cs="Times New Roman" w:eastAsia="Times New Roman" w:hAnsi="Times New Roman"/>
                <w:sz w:val="12"/>
                <w:szCs w:val="12"/>
                <w:color w:val="231F20"/>
              </w:rPr>
              <w:t>282</w:t>
            </w:r>
          </w:p>
        </w:tc>
        <w:tc>
          <w:tcPr>
            <w:tcW w:w="20" w:type="dxa"/>
            <w:vAlign w:val="bottom"/>
            <w:tcBorders>
              <w:top w:val="single" w:sz="8" w:color="EAEBEC"/>
            </w:tcBorders>
          </w:tcPr>
          <w:p>
            <w:pPr>
              <w:spacing w:after="0"/>
              <w:rPr>
                <w:sz w:val="10"/>
                <w:szCs w:val="10"/>
                <w:color w:val="auto"/>
              </w:rPr>
            </w:pPr>
          </w:p>
        </w:tc>
        <w:tc>
          <w:tcPr>
            <w:tcW w:w="40" w:type="dxa"/>
            <w:vAlign w:val="bottom"/>
            <w:tcBorders>
              <w:top w:val="single" w:sz="8" w:color="EAEBEC"/>
            </w:tcBorders>
          </w:tcPr>
          <w:p>
            <w:pPr>
              <w:spacing w:after="0"/>
              <w:rPr>
                <w:sz w:val="10"/>
                <w:szCs w:val="10"/>
                <w:color w:val="auto"/>
              </w:rPr>
            </w:pPr>
          </w:p>
        </w:tc>
        <w:tc>
          <w:tcPr>
            <w:tcW w:w="20" w:type="dxa"/>
            <w:vAlign w:val="bottom"/>
            <w:tcBorders>
              <w:top w:val="single" w:sz="8" w:color="EAEBEC"/>
            </w:tcBorders>
          </w:tcPr>
          <w:p>
            <w:pPr>
              <w:spacing w:after="0"/>
              <w:rPr>
                <w:sz w:val="10"/>
                <w:szCs w:val="10"/>
                <w:color w:val="auto"/>
              </w:rPr>
            </w:pPr>
          </w:p>
        </w:tc>
        <w:tc>
          <w:tcPr>
            <w:tcW w:w="60" w:type="dxa"/>
            <w:vAlign w:val="bottom"/>
            <w:tcBorders>
              <w:top w:val="single" w:sz="8" w:color="231F20"/>
            </w:tcBorders>
            <w:gridSpan w:val="3"/>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1080" w:type="dxa"/>
            <w:vAlign w:val="bottom"/>
            <w:tcBorders>
              <w:top w:val="single" w:sz="8" w:color="231F20"/>
            </w:tcBorders>
          </w:tcPr>
          <w:p>
            <w:pPr>
              <w:jc w:val="right"/>
              <w:spacing w:after="0" w:line="123" w:lineRule="exact"/>
              <w:rPr>
                <w:sz w:val="20"/>
                <w:szCs w:val="20"/>
                <w:color w:val="auto"/>
              </w:rPr>
            </w:pPr>
            <w:r>
              <w:rPr>
                <w:rFonts w:ascii="Times New Roman" w:cs="Times New Roman" w:eastAsia="Times New Roman" w:hAnsi="Times New Roman"/>
                <w:sz w:val="12"/>
                <w:szCs w:val="12"/>
                <w:color w:val="231F20"/>
              </w:rPr>
              <w:t>2,312,354</w:t>
            </w:r>
          </w:p>
        </w:tc>
        <w:tc>
          <w:tcPr>
            <w:tcW w:w="20" w:type="dxa"/>
            <w:vAlign w:val="bottom"/>
            <w:tcBorders>
              <w:top w:val="single" w:sz="8" w:color="EAEBEC"/>
            </w:tcBorders>
          </w:tcPr>
          <w:p>
            <w:pPr>
              <w:spacing w:after="0"/>
              <w:rPr>
                <w:sz w:val="10"/>
                <w:szCs w:val="10"/>
                <w:color w:val="auto"/>
              </w:rPr>
            </w:pPr>
          </w:p>
        </w:tc>
        <w:tc>
          <w:tcPr>
            <w:tcW w:w="40" w:type="dxa"/>
            <w:vAlign w:val="bottom"/>
            <w:tcBorders>
              <w:top w:val="single" w:sz="8" w:color="EAEBEC"/>
            </w:tcBorders>
          </w:tcPr>
          <w:p>
            <w:pPr>
              <w:spacing w:after="0"/>
              <w:rPr>
                <w:sz w:val="10"/>
                <w:szCs w:val="10"/>
                <w:color w:val="auto"/>
              </w:rPr>
            </w:pPr>
          </w:p>
        </w:tc>
        <w:tc>
          <w:tcPr>
            <w:tcW w:w="160" w:type="dxa"/>
            <w:vAlign w:val="bottom"/>
            <w:tcBorders>
              <w:top w:val="single" w:sz="8" w:color="231F20"/>
            </w:tcBorders>
            <w:gridSpan w:val="4"/>
          </w:tcPr>
          <w:p>
            <w:pPr>
              <w:jc w:val="right"/>
              <w:ind w:right="77"/>
              <w:spacing w:after="0"/>
              <w:rPr>
                <w:sz w:val="20"/>
                <w:szCs w:val="20"/>
                <w:color w:val="auto"/>
              </w:rPr>
            </w:pPr>
            <w:r>
              <w:rPr>
                <w:rFonts w:ascii="Times New Roman" w:cs="Times New Roman" w:eastAsia="Times New Roman" w:hAnsi="Times New Roman"/>
                <w:sz w:val="10"/>
                <w:szCs w:val="10"/>
                <w:color w:val="231F20"/>
                <w:w w:val="79"/>
              </w:rPr>
              <w:t>$</w:t>
            </w:r>
          </w:p>
        </w:tc>
        <w:tc>
          <w:tcPr>
            <w:tcW w:w="1280" w:type="dxa"/>
            <w:vAlign w:val="bottom"/>
            <w:tcBorders>
              <w:top w:val="single" w:sz="8" w:color="231F20"/>
            </w:tcBorders>
          </w:tcPr>
          <w:p>
            <w:pPr>
              <w:jc w:val="right"/>
              <w:spacing w:after="0" w:line="123" w:lineRule="exact"/>
              <w:rPr>
                <w:sz w:val="20"/>
                <w:szCs w:val="20"/>
                <w:color w:val="auto"/>
              </w:rPr>
            </w:pPr>
            <w:r>
              <w:rPr>
                <w:rFonts w:ascii="Times New Roman" w:cs="Times New Roman" w:eastAsia="Times New Roman" w:hAnsi="Times New Roman"/>
                <w:sz w:val="12"/>
                <w:szCs w:val="12"/>
                <w:color w:val="231F20"/>
              </w:rPr>
              <w:t>(1,139,993)</w:t>
            </w:r>
          </w:p>
        </w:tc>
        <w:tc>
          <w:tcPr>
            <w:tcW w:w="60" w:type="dxa"/>
            <w:vAlign w:val="bottom"/>
            <w:tcBorders>
              <w:top w:val="single" w:sz="8" w:color="EAEBEC"/>
            </w:tcBorders>
            <w:gridSpan w:val="3"/>
          </w:tcPr>
          <w:p>
            <w:pPr>
              <w:spacing w:after="0"/>
              <w:rPr>
                <w:sz w:val="10"/>
                <w:szCs w:val="10"/>
                <w:color w:val="auto"/>
              </w:rPr>
            </w:pPr>
          </w:p>
        </w:tc>
        <w:tc>
          <w:tcPr>
            <w:tcW w:w="20" w:type="dxa"/>
            <w:vAlign w:val="bottom"/>
            <w:tcBorders>
              <w:top w:val="single" w:sz="8" w:color="231F20"/>
            </w:tcBorders>
          </w:tcPr>
          <w:p>
            <w:pPr>
              <w:spacing w:after="0"/>
              <w:rPr>
                <w:sz w:val="10"/>
                <w:szCs w:val="10"/>
                <w:color w:val="auto"/>
              </w:rPr>
            </w:pPr>
          </w:p>
        </w:tc>
        <w:tc>
          <w:tcPr>
            <w:tcW w:w="20" w:type="dxa"/>
            <w:vAlign w:val="bottom"/>
            <w:tcBorders>
              <w:top w:val="single" w:sz="8" w:color="231F20"/>
            </w:tcBorders>
          </w:tcPr>
          <w:p>
            <w:pPr>
              <w:spacing w:after="0"/>
              <w:rPr>
                <w:sz w:val="10"/>
                <w:szCs w:val="10"/>
                <w:color w:val="auto"/>
              </w:rPr>
            </w:pPr>
          </w:p>
        </w:tc>
        <w:tc>
          <w:tcPr>
            <w:tcW w:w="20" w:type="dxa"/>
            <w:vAlign w:val="bottom"/>
            <w:tcBorders>
              <w:top w:val="single" w:sz="8" w:color="231F20"/>
            </w:tcBorders>
          </w:tcPr>
          <w:p>
            <w:pPr>
              <w:spacing w:after="0"/>
              <w:rPr>
                <w:sz w:val="10"/>
                <w:szCs w:val="10"/>
                <w:color w:val="auto"/>
              </w:rPr>
            </w:pPr>
          </w:p>
        </w:tc>
        <w:tc>
          <w:tcPr>
            <w:tcW w:w="140" w:type="dxa"/>
            <w:vAlign w:val="bottom"/>
            <w:tcBorders>
              <w:top w:val="single" w:sz="8" w:color="231F20"/>
            </w:tcBorders>
          </w:tcPr>
          <w:p>
            <w:pPr>
              <w:jc w:val="right"/>
              <w:ind w:right="117"/>
              <w:spacing w:after="0"/>
              <w:rPr>
                <w:sz w:val="20"/>
                <w:szCs w:val="20"/>
                <w:color w:val="auto"/>
              </w:rPr>
            </w:pPr>
            <w:r>
              <w:rPr>
                <w:rFonts w:ascii="Times New Roman" w:cs="Times New Roman" w:eastAsia="Times New Roman" w:hAnsi="Times New Roman"/>
                <w:sz w:val="5"/>
                <w:szCs w:val="5"/>
                <w:color w:val="231F20"/>
                <w:w w:val="78"/>
              </w:rPr>
              <w:t>$</w:t>
            </w:r>
          </w:p>
        </w:tc>
        <w:tc>
          <w:tcPr>
            <w:tcW w:w="1260" w:type="dxa"/>
            <w:vAlign w:val="bottom"/>
            <w:tcBorders>
              <w:top w:val="single" w:sz="8" w:color="231F20"/>
            </w:tcBorders>
          </w:tcPr>
          <w:p>
            <w:pPr>
              <w:jc w:val="right"/>
              <w:spacing w:after="0" w:line="123" w:lineRule="exact"/>
              <w:rPr>
                <w:sz w:val="20"/>
                <w:szCs w:val="20"/>
                <w:color w:val="auto"/>
              </w:rPr>
            </w:pPr>
            <w:r>
              <w:rPr>
                <w:rFonts w:ascii="Times New Roman" w:cs="Times New Roman" w:eastAsia="Times New Roman" w:hAnsi="Times New Roman"/>
                <w:sz w:val="12"/>
                <w:szCs w:val="12"/>
                <w:color w:val="231F20"/>
              </w:rPr>
              <w:t>(8,389)</w:t>
            </w:r>
          </w:p>
        </w:tc>
        <w:tc>
          <w:tcPr>
            <w:tcW w:w="60" w:type="dxa"/>
            <w:vAlign w:val="bottom"/>
            <w:tcBorders>
              <w:top w:val="single" w:sz="8" w:color="EAEBEC"/>
            </w:tcBorders>
            <w:gridSpan w:val="2"/>
          </w:tcPr>
          <w:p>
            <w:pPr>
              <w:spacing w:after="0"/>
              <w:rPr>
                <w:sz w:val="10"/>
                <w:szCs w:val="10"/>
                <w:color w:val="auto"/>
              </w:rPr>
            </w:pPr>
          </w:p>
        </w:tc>
        <w:tc>
          <w:tcPr>
            <w:tcW w:w="20" w:type="dxa"/>
            <w:vAlign w:val="bottom"/>
            <w:tcBorders>
              <w:top w:val="single" w:sz="8" w:color="EAEBEC"/>
            </w:tcBorders>
          </w:tcPr>
          <w:p>
            <w:pPr>
              <w:spacing w:after="0"/>
              <w:rPr>
                <w:sz w:val="10"/>
                <w:szCs w:val="10"/>
                <w:color w:val="auto"/>
              </w:rPr>
            </w:pPr>
          </w:p>
        </w:tc>
        <w:tc>
          <w:tcPr>
            <w:tcW w:w="20" w:type="dxa"/>
            <w:vAlign w:val="bottom"/>
            <w:tcBorders>
              <w:top w:val="single" w:sz="8" w:color="231F20"/>
            </w:tcBorders>
          </w:tcPr>
          <w:p>
            <w:pPr>
              <w:spacing w:after="0"/>
              <w:rPr>
                <w:sz w:val="10"/>
                <w:szCs w:val="10"/>
                <w:color w:val="auto"/>
              </w:rPr>
            </w:pPr>
          </w:p>
        </w:tc>
        <w:tc>
          <w:tcPr>
            <w:tcW w:w="40" w:type="dxa"/>
            <w:vAlign w:val="bottom"/>
            <w:tcBorders>
              <w:top w:val="single" w:sz="8" w:color="231F20"/>
            </w:tcBorders>
            <w:gridSpan w:val="2"/>
          </w:tcPr>
          <w:p>
            <w:pPr>
              <w:jc w:val="right"/>
              <w:spacing w:after="0"/>
              <w:rPr>
                <w:sz w:val="20"/>
                <w:szCs w:val="20"/>
                <w:color w:val="auto"/>
              </w:rPr>
            </w:pPr>
            <w:r>
              <w:rPr>
                <w:rFonts w:ascii="Times New Roman" w:cs="Times New Roman" w:eastAsia="Times New Roman" w:hAnsi="Times New Roman"/>
                <w:sz w:val="1"/>
                <w:szCs w:val="1"/>
                <w:color w:val="231F20"/>
                <w:w w:val="4294967286"/>
              </w:rPr>
              <w:t>$</w:t>
            </w:r>
          </w:p>
        </w:tc>
        <w:tc>
          <w:tcPr>
            <w:tcW w:w="1100" w:type="dxa"/>
            <w:vAlign w:val="bottom"/>
            <w:tcBorders>
              <w:top w:val="single" w:sz="8" w:color="231F20"/>
            </w:tcBorders>
          </w:tcPr>
          <w:p>
            <w:pPr>
              <w:jc w:val="right"/>
              <w:spacing w:after="0" w:line="123" w:lineRule="exact"/>
              <w:rPr>
                <w:sz w:val="20"/>
                <w:szCs w:val="20"/>
                <w:color w:val="auto"/>
              </w:rPr>
            </w:pPr>
            <w:r>
              <w:rPr>
                <w:rFonts w:ascii="Times New Roman" w:cs="Times New Roman" w:eastAsia="Times New Roman" w:hAnsi="Times New Roman"/>
                <w:sz w:val="12"/>
                <w:szCs w:val="12"/>
                <w:color w:val="231F20"/>
              </w:rPr>
              <w:t>1,164,254</w:t>
            </w:r>
          </w:p>
        </w:tc>
        <w:tc>
          <w:tcPr>
            <w:tcW w:w="60" w:type="dxa"/>
            <w:vAlign w:val="bottom"/>
            <w:tcBorders>
              <w:top w:val="single" w:sz="8" w:color="EAEBEC"/>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26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3546475</wp:posOffset>
                </wp:positionH>
                <wp:positionV relativeFrom="paragraph">
                  <wp:posOffset>-1133475</wp:posOffset>
                </wp:positionV>
                <wp:extent cx="0" cy="20447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4470"/>
                        </a:xfrm>
                        <a:prstGeom prst="line">
                          <a:avLst/>
                        </a:prstGeom>
                        <a:solidFill>
                          <a:srgbClr val="FFFFFF"/>
                        </a:solidFill>
                        <a:ln w="29159">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9.25pt,-89.2499pt" to="279.25pt,-73.1499pt" o:allowincell="f" strokecolor="#FFFFFF" strokeweight="2.296pt"/>
            </w:pict>
          </mc:Fallback>
        </mc:AlternateContent>
        <mc:AlternateContent>
          <mc:Choice Requires="wps">
            <w:drawing>
              <wp:anchor simplePos="0" relativeHeight="251657728" behindDoc="1" locked="0" layoutInCell="0" allowOverlap="1">
                <wp:simplePos x="0" y="0"/>
                <wp:positionH relativeFrom="column">
                  <wp:posOffset>4293870</wp:posOffset>
                </wp:positionH>
                <wp:positionV relativeFrom="paragraph">
                  <wp:posOffset>-1133475</wp:posOffset>
                </wp:positionV>
                <wp:extent cx="0" cy="20447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4470"/>
                        </a:xfrm>
                        <a:prstGeom prst="line">
                          <a:avLst/>
                        </a:prstGeom>
                        <a:solidFill>
                          <a:srgbClr val="FFFFFF"/>
                        </a:solidFill>
                        <a:ln w="29159">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1pt,-89.2499pt" to="338.1pt,-73.1499pt" o:allowincell="f" strokecolor="#FFFFFF" strokeweight="2.296pt"/>
            </w:pict>
          </mc:Fallback>
        </mc:AlternateContent>
        <mc:AlternateContent>
          <mc:Choice Requires="wps">
            <w:drawing>
              <wp:anchor simplePos="0" relativeHeight="251657728" behindDoc="1" locked="0" layoutInCell="0" allowOverlap="1">
                <wp:simplePos x="0" y="0"/>
                <wp:positionH relativeFrom="column">
                  <wp:posOffset>5041900</wp:posOffset>
                </wp:positionH>
                <wp:positionV relativeFrom="paragraph">
                  <wp:posOffset>-1133475</wp:posOffset>
                </wp:positionV>
                <wp:extent cx="0" cy="20447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4470"/>
                        </a:xfrm>
                        <a:prstGeom prst="line">
                          <a:avLst/>
                        </a:prstGeom>
                        <a:solidFill>
                          <a:srgbClr val="FFFFFF"/>
                        </a:solidFill>
                        <a:ln w="29146">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pt,-89.2499pt" to="397pt,-73.1499pt" o:allowincell="f" strokecolor="#FFFFFF" strokeweight="2.295pt"/>
            </w:pict>
          </mc:Fallback>
        </mc:AlternateContent>
        <mc:AlternateContent>
          <mc:Choice Requires="wps">
            <w:drawing>
              <wp:anchor simplePos="0" relativeHeight="251657728" behindDoc="1" locked="0" layoutInCell="0" allowOverlap="1">
                <wp:simplePos x="0" y="0"/>
                <wp:positionH relativeFrom="column">
                  <wp:posOffset>5822950</wp:posOffset>
                </wp:positionH>
                <wp:positionV relativeFrom="paragraph">
                  <wp:posOffset>-1133475</wp:posOffset>
                </wp:positionV>
                <wp:extent cx="0" cy="20447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4470"/>
                        </a:xfrm>
                        <a:prstGeom prst="line">
                          <a:avLst/>
                        </a:prstGeom>
                        <a:solidFill>
                          <a:srgbClr val="FFFFFF"/>
                        </a:solidFill>
                        <a:ln w="29159">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8.5pt,-89.2499pt" to="458.5pt,-73.1499pt" o:allowincell="f" strokecolor="#FFFFFF" strokeweight="2.296pt"/>
            </w:pict>
          </mc:Fallback>
        </mc:AlternateContent>
        <mc:AlternateContent>
          <mc:Choice Requires="wps">
            <w:drawing>
              <wp:anchor simplePos="0" relativeHeight="251657728" behindDoc="1" locked="0" layoutInCell="0" allowOverlap="1">
                <wp:simplePos x="0" y="0"/>
                <wp:positionH relativeFrom="column">
                  <wp:posOffset>6599555</wp:posOffset>
                </wp:positionH>
                <wp:positionV relativeFrom="paragraph">
                  <wp:posOffset>-1133475</wp:posOffset>
                </wp:positionV>
                <wp:extent cx="0" cy="20447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4470"/>
                        </a:xfrm>
                        <a:prstGeom prst="line">
                          <a:avLst/>
                        </a:prstGeom>
                        <a:solidFill>
                          <a:srgbClr val="FFFFFF"/>
                        </a:solidFill>
                        <a:ln w="38797">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9.65pt,-89.2499pt" to="519.65pt,-73.1499pt" o:allowincell="f" strokecolor="#FFFFFF" strokeweight="3.0549pt"/>
            </w:pict>
          </mc:Fallback>
        </mc:AlternateContent>
        <mc:AlternateContent>
          <mc:Choice Requires="wps">
            <w:drawing>
              <wp:anchor simplePos="0" relativeHeight="251657728" behindDoc="1" locked="0" layoutInCell="0" allowOverlap="1">
                <wp:simplePos x="0" y="0"/>
                <wp:positionH relativeFrom="column">
                  <wp:posOffset>7550785</wp:posOffset>
                </wp:positionH>
                <wp:positionV relativeFrom="paragraph">
                  <wp:posOffset>-1133475</wp:posOffset>
                </wp:positionV>
                <wp:extent cx="0" cy="20447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4470"/>
                        </a:xfrm>
                        <a:prstGeom prst="line">
                          <a:avLst/>
                        </a:prstGeom>
                        <a:solidFill>
                          <a:srgbClr val="FFFFFF"/>
                        </a:solidFill>
                        <a:ln w="38786">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55pt,-89.2499pt" to="594.55pt,-73.1499pt" o:allowincell="f" strokecolor="#FFFFFF" strokeweight="3.054pt"/>
            </w:pict>
          </mc:Fallback>
        </mc:AlternateContent>
        <mc:AlternateContent>
          <mc:Choice Requires="wps">
            <w:drawing>
              <wp:anchor simplePos="0" relativeHeight="251657728" behindDoc="1" locked="0" layoutInCell="0" allowOverlap="1">
                <wp:simplePos x="0" y="0"/>
                <wp:positionH relativeFrom="column">
                  <wp:posOffset>8515350</wp:posOffset>
                </wp:positionH>
                <wp:positionV relativeFrom="paragraph">
                  <wp:posOffset>-1133475</wp:posOffset>
                </wp:positionV>
                <wp:extent cx="0" cy="20447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4470"/>
                        </a:xfrm>
                        <a:prstGeom prst="line">
                          <a:avLst/>
                        </a:prstGeom>
                        <a:solidFill>
                          <a:srgbClr val="FFFFFF"/>
                        </a:solidFill>
                        <a:ln w="38795">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0.5pt,-89.2499pt" to="670.5pt,-73.1499pt" o:allowincell="f" strokecolor="#FFFFFF" strokeweight="3.0547pt"/>
            </w:pict>
          </mc:Fallback>
        </mc:AlternateContent>
        <mc:AlternateContent>
          <mc:Choice Requires="wps">
            <w:drawing>
              <wp:anchor simplePos="0" relativeHeight="251657728" behindDoc="1" locked="0" layoutInCell="0" allowOverlap="1">
                <wp:simplePos x="0" y="0"/>
                <wp:positionH relativeFrom="column">
                  <wp:posOffset>9296400</wp:posOffset>
                </wp:positionH>
                <wp:positionV relativeFrom="paragraph">
                  <wp:posOffset>-1133475</wp:posOffset>
                </wp:positionV>
                <wp:extent cx="0" cy="20447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04470"/>
                        </a:xfrm>
                        <a:prstGeom prst="line">
                          <a:avLst/>
                        </a:prstGeom>
                        <a:solidFill>
                          <a:srgbClr val="FFFFFF"/>
                        </a:solidFill>
                        <a:ln w="38794">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32pt,-89.2499pt" to="732pt,-73.1499pt" o:allowincell="f" strokecolor="#FFFFFF" strokeweight="3.0546pt"/>
            </w:pict>
          </mc:Fallback>
        </mc:AlternateContent>
        <w:drawing>
          <wp:anchor simplePos="0" relativeHeight="251657728" behindDoc="1" locked="0" layoutInCell="0" allowOverlap="1">
            <wp:simplePos x="0" y="0"/>
            <wp:positionH relativeFrom="column">
              <wp:posOffset>2795270</wp:posOffset>
            </wp:positionH>
            <wp:positionV relativeFrom="paragraph">
              <wp:posOffset>-3816350</wp:posOffset>
            </wp:positionV>
            <wp:extent cx="303212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0">
                      <a:extLst>
                        <a:ext uri="{28A0092B-C50C-407E-A947-70E740481C1C}"/>
                      </a:extLst>
                    </a:blip>
                    <a:srcRect/>
                    <a:stretch>
                      <a:fillRect/>
                    </a:stretch>
                  </pic:blipFill>
                  <pic:spPr bwMode="auto">
                    <a:xfrm>
                      <a:off x="0" y="0"/>
                      <a:ext cx="3032125" cy="3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See accompanying notes to consolidated financial statements.</w:t>
      </w:r>
    </w:p>
    <w:p>
      <w:pPr>
        <w:sectPr>
          <w:pgSz w:w="15480" w:h="11880" w:orient="landscape"/>
          <w:cols w:equalWidth="0" w:num="1">
            <w:col w:w="14680"/>
          </w:cols>
          <w:pgMar w:left="400" w:top="1044" w:right="400" w:bottom="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69</w:t>
      </w:r>
    </w:p>
    <w:p>
      <w:pPr>
        <w:sectPr>
          <w:pgSz w:w="15480" w:h="11880" w:orient="landscape"/>
          <w:cols w:equalWidth="0" w:num="1">
            <w:col w:w="14680"/>
          </w:cols>
          <w:pgMar w:left="400" w:top="1044" w:right="400" w:bottom="27" w:gutter="0" w:footer="0" w:header="0"/>
          <w:type w:val="continuous"/>
        </w:sectPr>
      </w:pPr>
    </w:p>
    <w:bookmarkStart w:id="79" w:name="page80"/>
    <w:bookmarkEnd w:id="79"/>
    <w:p>
      <w:pPr>
        <w:ind w:left="2260"/>
        <w:spacing w:after="0"/>
        <w:rPr>
          <w:sz w:val="20"/>
          <w:szCs w:val="20"/>
          <w:color w:val="auto"/>
        </w:rPr>
      </w:pPr>
      <w:r>
        <w:rPr>
          <w:rFonts w:ascii="Times New Roman" w:cs="Times New Roman" w:eastAsia="Times New Roman" w:hAnsi="Times New Roman"/>
          <w:sz w:val="20"/>
          <w:szCs w:val="20"/>
          <w:b w:val="1"/>
          <w:bCs w:val="1"/>
          <w:color w:val="231F20"/>
        </w:rPr>
        <w:t>PETCO HEALTH AND WELLNESS COMPANY, INC.</w:t>
      </w:r>
    </w:p>
    <w:p>
      <w:pPr>
        <w:spacing w:after="0" w:line="12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b w:val="1"/>
          <w:bCs w:val="1"/>
          <w:color w:val="231F20"/>
        </w:rPr>
        <w:t>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231F20"/>
              </w:rPr>
              <w:t>Fiscal years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231F20"/>
                <w:w w:val="98"/>
              </w:rPr>
              <w:t>January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231F20"/>
                <w:w w:val="98"/>
              </w:rPr>
              <w:t>February 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03"/>
              <w:spacing w:after="0"/>
              <w:rPr>
                <w:sz w:val="20"/>
                <w:szCs w:val="20"/>
                <w:color w:val="auto"/>
              </w:rPr>
            </w:pPr>
            <w:r>
              <w:rPr>
                <w:rFonts w:ascii="Times New Roman" w:cs="Times New Roman" w:eastAsia="Times New Roman" w:hAnsi="Times New Roman"/>
                <w:sz w:val="14"/>
                <w:szCs w:val="14"/>
                <w:b w:val="1"/>
                <w:bCs w:val="1"/>
                <w:color w:val="231F20"/>
                <w:w w:val="98"/>
              </w:rPr>
              <w:t>February 3,</w:t>
            </w:r>
          </w:p>
        </w:tc>
        <w:tc>
          <w:tcPr>
            <w:tcW w:w="0" w:type="dxa"/>
            <w:vAlign w:val="bottom"/>
          </w:tcPr>
          <w:p>
            <w:pPr>
              <w:spacing w:after="0"/>
              <w:rPr>
                <w:sz w:val="1"/>
                <w:szCs w:val="1"/>
                <w:color w:val="auto"/>
              </w:rPr>
            </w:pPr>
          </w:p>
        </w:tc>
      </w:tr>
      <w:tr>
        <w:trPr>
          <w:trHeight w:val="177"/>
        </w:trPr>
        <w:tc>
          <w:tcPr>
            <w:tcW w:w="5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1000" w:type="dxa"/>
            <w:vAlign w:val="bottom"/>
            <w:tcBorders>
              <w:bottom w:val="single" w:sz="8" w:color="231F20"/>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231F20"/>
                <w:w w:val="99"/>
              </w:rPr>
              <w:t>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231F20"/>
            </w:tcBorders>
          </w:tcPr>
          <w:p>
            <w:pPr>
              <w:spacing w:after="0"/>
              <w:rPr>
                <w:sz w:val="15"/>
                <w:szCs w:val="15"/>
                <w:color w:val="auto"/>
              </w:rPr>
            </w:pPr>
          </w:p>
        </w:tc>
        <w:tc>
          <w:tcPr>
            <w:tcW w:w="1000" w:type="dxa"/>
            <w:vAlign w:val="bottom"/>
            <w:tcBorders>
              <w:bottom w:val="single" w:sz="8" w:color="231F20"/>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231F20"/>
                <w:w w:val="99"/>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231F20"/>
            </w:tcBorders>
          </w:tcPr>
          <w:p>
            <w:pPr>
              <w:spacing w:after="0"/>
              <w:rPr>
                <w:sz w:val="15"/>
                <w:szCs w:val="15"/>
                <w:color w:val="auto"/>
              </w:rPr>
            </w:pPr>
          </w:p>
        </w:tc>
        <w:tc>
          <w:tcPr>
            <w:tcW w:w="1000" w:type="dxa"/>
            <w:vAlign w:val="bottom"/>
            <w:tcBorders>
              <w:bottom w:val="single" w:sz="8" w:color="231F20"/>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231F20"/>
                <w:w w:val="99"/>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231F20"/>
                <w:w w:val="98"/>
              </w:rPr>
              <w:t>(52 weeks)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231F20"/>
                <w:w w:val="98"/>
              </w:rPr>
              <w:t>(52 weeks)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231F20"/>
                <w:w w:val="98"/>
              </w:rPr>
              <w:t>(53 weeks)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spacing w:after="0"/>
              <w:rPr>
                <w:sz w:val="20"/>
                <w:szCs w:val="20"/>
                <w:color w:val="auto"/>
              </w:rPr>
            </w:pPr>
            <w:r>
              <w:rPr>
                <w:rFonts w:ascii="Times New Roman" w:cs="Times New Roman" w:eastAsia="Times New Roman" w:hAnsi="Times New Roman"/>
                <w:sz w:val="15"/>
                <w:szCs w:val="15"/>
                <w:color w:val="231F20"/>
              </w:rPr>
              <w:t>Cash flows from operating activities:</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00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spacing w:after="0"/>
              <w:rPr>
                <w:sz w:val="16"/>
                <w:szCs w:val="16"/>
                <w:color w:val="auto"/>
              </w:rPr>
            </w:pP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Net income (loss)</w:t>
            </w:r>
          </w:p>
        </w:tc>
        <w:tc>
          <w:tcPr>
            <w:tcW w:w="4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9,066</w:t>
            </w:r>
          </w:p>
        </w:tc>
        <w:tc>
          <w:tcPr>
            <w:tcW w:w="14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(101,816)</w:t>
            </w:r>
          </w:p>
        </w:tc>
        <w:tc>
          <w:tcPr>
            <w:tcW w:w="2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(1,280,210)</w:t>
            </w:r>
          </w:p>
        </w:tc>
        <w:tc>
          <w:tcPr>
            <w:tcW w:w="0" w:type="dxa"/>
            <w:vAlign w:val="bottom"/>
          </w:tcPr>
          <w:p>
            <w:pPr>
              <w:spacing w:after="0"/>
              <w:rPr>
                <w:sz w:val="1"/>
                <w:szCs w:val="1"/>
                <w:color w:val="auto"/>
              </w:rPr>
            </w:pPr>
          </w:p>
        </w:tc>
      </w:tr>
      <w:tr>
        <w:trPr>
          <w:trHeight w:val="171"/>
        </w:trPr>
        <w:tc>
          <w:tcPr>
            <w:tcW w:w="5120" w:type="dxa"/>
            <w:vAlign w:val="bottom"/>
            <w:shd w:val="clear" w:color="auto" w:fill="EAEBEC"/>
          </w:tcPr>
          <w:p>
            <w:pPr>
              <w:ind w:left="200"/>
              <w:spacing w:after="0" w:line="171" w:lineRule="exact"/>
              <w:rPr>
                <w:sz w:val="20"/>
                <w:szCs w:val="20"/>
                <w:color w:val="auto"/>
              </w:rPr>
            </w:pPr>
            <w:r>
              <w:rPr>
                <w:rFonts w:ascii="Times New Roman" w:cs="Times New Roman" w:eastAsia="Times New Roman" w:hAnsi="Times New Roman"/>
                <w:sz w:val="15"/>
                <w:szCs w:val="15"/>
                <w:color w:val="231F20"/>
              </w:rPr>
              <w:t>Adjustments to reconcile net income (loss) to net cash provided by operating</w:t>
            </w:r>
          </w:p>
        </w:tc>
        <w:tc>
          <w:tcPr>
            <w:tcW w:w="280" w:type="dxa"/>
            <w:vAlign w:val="bottom"/>
            <w:shd w:val="clear" w:color="auto" w:fill="EAEBEC"/>
          </w:tcPr>
          <w:p>
            <w:pPr>
              <w:spacing w:after="0"/>
              <w:rPr>
                <w:sz w:val="14"/>
                <w:szCs w:val="14"/>
                <w:color w:val="auto"/>
              </w:rPr>
            </w:pPr>
          </w:p>
        </w:tc>
        <w:tc>
          <w:tcPr>
            <w:tcW w:w="160" w:type="dxa"/>
            <w:vAlign w:val="bottom"/>
            <w:shd w:val="clear" w:color="auto" w:fill="EAEBEC"/>
          </w:tcPr>
          <w:p>
            <w:pPr>
              <w:spacing w:after="0"/>
              <w:rPr>
                <w:sz w:val="14"/>
                <w:szCs w:val="14"/>
                <w:color w:val="auto"/>
              </w:rPr>
            </w:pPr>
          </w:p>
        </w:tc>
        <w:tc>
          <w:tcPr>
            <w:tcW w:w="1000" w:type="dxa"/>
            <w:vAlign w:val="bottom"/>
            <w:shd w:val="clear" w:color="auto" w:fill="EAEBEC"/>
          </w:tcPr>
          <w:p>
            <w:pPr>
              <w:spacing w:after="0"/>
              <w:rPr>
                <w:sz w:val="14"/>
                <w:szCs w:val="14"/>
                <w:color w:val="auto"/>
              </w:rPr>
            </w:pPr>
          </w:p>
        </w:tc>
        <w:tc>
          <w:tcPr>
            <w:tcW w:w="140" w:type="dxa"/>
            <w:vAlign w:val="bottom"/>
            <w:shd w:val="clear" w:color="auto" w:fill="EAEBEC"/>
          </w:tcPr>
          <w:p>
            <w:pPr>
              <w:spacing w:after="0"/>
              <w:rPr>
                <w:sz w:val="14"/>
                <w:szCs w:val="14"/>
                <w:color w:val="auto"/>
              </w:rPr>
            </w:pPr>
          </w:p>
        </w:tc>
        <w:tc>
          <w:tcPr>
            <w:tcW w:w="80" w:type="dxa"/>
            <w:vAlign w:val="bottom"/>
            <w:shd w:val="clear" w:color="auto" w:fill="EAEBEC"/>
          </w:tcPr>
          <w:p>
            <w:pPr>
              <w:spacing w:after="0"/>
              <w:rPr>
                <w:sz w:val="14"/>
                <w:szCs w:val="14"/>
                <w:color w:val="auto"/>
              </w:rPr>
            </w:pPr>
          </w:p>
        </w:tc>
        <w:tc>
          <w:tcPr>
            <w:tcW w:w="140" w:type="dxa"/>
            <w:vAlign w:val="bottom"/>
            <w:shd w:val="clear" w:color="auto" w:fill="EAEBEC"/>
          </w:tcPr>
          <w:p>
            <w:pPr>
              <w:spacing w:after="0"/>
              <w:rPr>
                <w:sz w:val="14"/>
                <w:szCs w:val="14"/>
                <w:color w:val="auto"/>
              </w:rPr>
            </w:pPr>
          </w:p>
        </w:tc>
        <w:tc>
          <w:tcPr>
            <w:tcW w:w="1000" w:type="dxa"/>
            <w:vAlign w:val="bottom"/>
            <w:shd w:val="clear" w:color="auto" w:fill="EAEBEC"/>
          </w:tcPr>
          <w:p>
            <w:pPr>
              <w:spacing w:after="0"/>
              <w:rPr>
                <w:sz w:val="14"/>
                <w:szCs w:val="14"/>
                <w:color w:val="auto"/>
              </w:rPr>
            </w:pPr>
          </w:p>
        </w:tc>
        <w:tc>
          <w:tcPr>
            <w:tcW w:w="140" w:type="dxa"/>
            <w:vAlign w:val="bottom"/>
            <w:shd w:val="clear" w:color="auto" w:fill="EAEBEC"/>
          </w:tcPr>
          <w:p>
            <w:pPr>
              <w:spacing w:after="0"/>
              <w:rPr>
                <w:sz w:val="14"/>
                <w:szCs w:val="14"/>
                <w:color w:val="auto"/>
              </w:rPr>
            </w:pPr>
          </w:p>
        </w:tc>
        <w:tc>
          <w:tcPr>
            <w:tcW w:w="80" w:type="dxa"/>
            <w:vAlign w:val="bottom"/>
            <w:shd w:val="clear" w:color="auto" w:fill="EAEBEC"/>
          </w:tcPr>
          <w:p>
            <w:pPr>
              <w:spacing w:after="0"/>
              <w:rPr>
                <w:sz w:val="14"/>
                <w:szCs w:val="14"/>
                <w:color w:val="auto"/>
              </w:rPr>
            </w:pPr>
          </w:p>
        </w:tc>
        <w:tc>
          <w:tcPr>
            <w:tcW w:w="160" w:type="dxa"/>
            <w:vAlign w:val="bottom"/>
            <w:shd w:val="clear" w:color="auto" w:fill="EAEBEC"/>
          </w:tcPr>
          <w:p>
            <w:pPr>
              <w:spacing w:after="0"/>
              <w:rPr>
                <w:sz w:val="14"/>
                <w:szCs w:val="14"/>
                <w:color w:val="auto"/>
              </w:rPr>
            </w:pPr>
          </w:p>
        </w:tc>
        <w:tc>
          <w:tcPr>
            <w:tcW w:w="1000" w:type="dxa"/>
            <w:vAlign w:val="bottom"/>
            <w:shd w:val="clear" w:color="auto" w:fill="EAEBEC"/>
          </w:tcPr>
          <w:p>
            <w:pPr>
              <w:spacing w:after="0"/>
              <w:rPr>
                <w:sz w:val="14"/>
                <w:szCs w:val="14"/>
                <w:color w:val="auto"/>
              </w:rPr>
            </w:pPr>
          </w:p>
        </w:tc>
        <w:tc>
          <w:tcPr>
            <w:tcW w:w="60" w:type="dxa"/>
            <w:vAlign w:val="bottom"/>
            <w:shd w:val="clear" w:color="auto" w:fill="EAEBE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20" w:type="dxa"/>
            <w:vAlign w:val="bottom"/>
            <w:shd w:val="clear" w:color="auto" w:fill="EAEBEC"/>
          </w:tcPr>
          <w:p>
            <w:pPr>
              <w:ind w:left="320"/>
              <w:spacing w:after="0"/>
              <w:rPr>
                <w:sz w:val="20"/>
                <w:szCs w:val="20"/>
                <w:color w:val="auto"/>
              </w:rPr>
            </w:pPr>
            <w:r>
              <w:rPr>
                <w:rFonts w:ascii="Times New Roman" w:cs="Times New Roman" w:eastAsia="Times New Roman" w:hAnsi="Times New Roman"/>
                <w:sz w:val="15"/>
                <w:szCs w:val="15"/>
                <w:color w:val="231F20"/>
              </w:rPr>
              <w:t>activities:</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00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spacing w:after="0"/>
              <w:rPr>
                <w:sz w:val="16"/>
                <w:szCs w:val="16"/>
                <w:color w:val="auto"/>
              </w:rPr>
            </w:pP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tcPr>
          <w:p>
            <w:pPr>
              <w:ind w:left="400"/>
              <w:spacing w:after="0"/>
              <w:rPr>
                <w:sz w:val="20"/>
                <w:szCs w:val="20"/>
                <w:color w:val="auto"/>
              </w:rPr>
            </w:pPr>
            <w:r>
              <w:rPr>
                <w:rFonts w:ascii="Times New Roman" w:cs="Times New Roman" w:eastAsia="Times New Roman" w:hAnsi="Times New Roman"/>
                <w:sz w:val="15"/>
                <w:szCs w:val="15"/>
                <w:color w:val="231F20"/>
              </w:rPr>
              <w:t>Depreciation and amortization</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196,710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208,517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203,615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ind w:left="400"/>
              <w:spacing w:after="0"/>
              <w:rPr>
                <w:sz w:val="20"/>
                <w:szCs w:val="20"/>
                <w:color w:val="auto"/>
              </w:rPr>
            </w:pPr>
            <w:r>
              <w:rPr>
                <w:rFonts w:ascii="Times New Roman" w:cs="Times New Roman" w:eastAsia="Times New Roman" w:hAnsi="Times New Roman"/>
                <w:sz w:val="15"/>
                <w:szCs w:val="15"/>
                <w:color w:val="231F20"/>
              </w:rPr>
              <w:t>Amortization of debt discounts and issuance costs</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5,022</w:t>
            </w: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4,896</w:t>
            </w: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4,972</w:t>
            </w: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tcPr>
          <w:p>
            <w:pPr>
              <w:ind w:left="400"/>
              <w:spacing w:after="0"/>
              <w:rPr>
                <w:sz w:val="20"/>
                <w:szCs w:val="20"/>
                <w:color w:val="auto"/>
              </w:rPr>
            </w:pPr>
            <w:r>
              <w:rPr>
                <w:rFonts w:ascii="Times New Roman" w:cs="Times New Roman" w:eastAsia="Times New Roman" w:hAnsi="Times New Roman"/>
                <w:sz w:val="15"/>
                <w:szCs w:val="15"/>
                <w:color w:val="231F20"/>
              </w:rPr>
              <w:t>Provision for deferred taxes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17,050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(30,492)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(53,549)</w:t>
            </w: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ind w:left="400"/>
              <w:spacing w:after="0"/>
              <w:rPr>
                <w:sz w:val="20"/>
                <w:szCs w:val="20"/>
                <w:color w:val="auto"/>
              </w:rPr>
            </w:pPr>
            <w:r>
              <w:rPr>
                <w:rFonts w:ascii="Times New Roman" w:cs="Times New Roman" w:eastAsia="Times New Roman" w:hAnsi="Times New Roman"/>
                <w:sz w:val="15"/>
                <w:szCs w:val="15"/>
                <w:color w:val="231F20"/>
              </w:rPr>
              <w:t>Equity-based compensation expense</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32,650</w:t>
            </w: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50,212</w:t>
            </w: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81,859</w:t>
            </w: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tcPr>
          <w:p>
            <w:pPr>
              <w:ind w:left="400"/>
              <w:spacing w:after="0"/>
              <w:rPr>
                <w:sz w:val="20"/>
                <w:szCs w:val="20"/>
                <w:color w:val="auto"/>
              </w:rPr>
            </w:pPr>
            <w:r>
              <w:rPr>
                <w:rFonts w:ascii="Times New Roman" w:cs="Times New Roman" w:eastAsia="Times New Roman" w:hAnsi="Times New Roman"/>
                <w:sz w:val="15"/>
                <w:szCs w:val="15"/>
                <w:color w:val="231F20"/>
              </w:rPr>
              <w:t>Loss on partial extinguishment of debt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565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ind w:left="400"/>
              <w:spacing w:after="0"/>
              <w:rPr>
                <w:sz w:val="20"/>
                <w:szCs w:val="20"/>
                <w:color w:val="auto"/>
              </w:rPr>
            </w:pPr>
            <w:r>
              <w:rPr>
                <w:rFonts w:ascii="Times New Roman" w:cs="Times New Roman" w:eastAsia="Times New Roman" w:hAnsi="Times New Roman"/>
                <w:sz w:val="15"/>
                <w:szCs w:val="15"/>
                <w:color w:val="231F20"/>
              </w:rPr>
              <w:t>Income from equity method investees</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15"/>
                <w:szCs w:val="15"/>
                <w:color w:val="231F20"/>
              </w:rPr>
              <w:t>(20,358)</w:t>
            </w: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15"/>
                <w:szCs w:val="15"/>
                <w:color w:val="231F20"/>
              </w:rPr>
              <w:t>(18,669)</w:t>
            </w: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(16,188)</w:t>
            </w:r>
          </w:p>
        </w:tc>
        <w:tc>
          <w:tcPr>
            <w:tcW w:w="0" w:type="dxa"/>
            <w:vAlign w:val="bottom"/>
          </w:tcPr>
          <w:p>
            <w:pPr>
              <w:spacing w:after="0"/>
              <w:rPr>
                <w:sz w:val="1"/>
                <w:szCs w:val="1"/>
                <w:color w:val="auto"/>
              </w:rPr>
            </w:pPr>
          </w:p>
        </w:tc>
      </w:tr>
      <w:tr>
        <w:trPr>
          <w:trHeight w:val="171"/>
        </w:trPr>
        <w:tc>
          <w:tcPr>
            <w:tcW w:w="5120" w:type="dxa"/>
            <w:vAlign w:val="bottom"/>
          </w:tcPr>
          <w:p>
            <w:pPr>
              <w:ind w:left="400"/>
              <w:spacing w:after="0" w:line="171" w:lineRule="exact"/>
              <w:rPr>
                <w:sz w:val="20"/>
                <w:szCs w:val="20"/>
                <w:color w:val="auto"/>
              </w:rPr>
            </w:pPr>
            <w:r>
              <w:rPr>
                <w:rFonts w:ascii="Times New Roman" w:cs="Times New Roman" w:eastAsia="Times New Roman" w:hAnsi="Times New Roman"/>
                <w:sz w:val="15"/>
                <w:szCs w:val="15"/>
                <w:color w:val="231F20"/>
              </w:rPr>
              <w:t>Amounts reclassified out of accumulated other comprehensive loss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20" w:type="dxa"/>
            <w:vAlign w:val="bottom"/>
          </w:tcPr>
          <w:p>
            <w:pPr>
              <w:ind w:left="520"/>
              <w:spacing w:after="0"/>
              <w:rPr>
                <w:sz w:val="20"/>
                <w:szCs w:val="20"/>
                <w:color w:val="auto"/>
              </w:rPr>
            </w:pPr>
            <w:r>
              <w:rPr>
                <w:rFonts w:ascii="Times New Roman" w:cs="Times New Roman" w:eastAsia="Times New Roman" w:hAnsi="Times New Roman"/>
                <w:sz w:val="15"/>
                <w:szCs w:val="15"/>
                <w:color w:val="231F20"/>
              </w:rPr>
              <w:t>(Note 8)</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(556)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(3,146)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(488)</w:t>
            </w: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ind w:left="400"/>
              <w:spacing w:after="0"/>
              <w:rPr>
                <w:sz w:val="20"/>
                <w:szCs w:val="20"/>
                <w:color w:val="auto"/>
              </w:rPr>
            </w:pPr>
            <w:r>
              <w:rPr>
                <w:rFonts w:ascii="Times New Roman" w:cs="Times New Roman" w:eastAsia="Times New Roman" w:hAnsi="Times New Roman"/>
                <w:sz w:val="15"/>
                <w:szCs w:val="15"/>
                <w:color w:val="231F20"/>
              </w:rPr>
              <w:t>Goodwill impairment</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14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1,222,524</w:t>
            </w: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tcPr>
          <w:p>
            <w:pPr>
              <w:ind w:left="400"/>
              <w:spacing w:after="0"/>
              <w:rPr>
                <w:sz w:val="20"/>
                <w:szCs w:val="20"/>
                <w:color w:val="auto"/>
              </w:rPr>
            </w:pPr>
            <w:r>
              <w:rPr>
                <w:rFonts w:ascii="Times New Roman" w:cs="Times New Roman" w:eastAsia="Times New Roman" w:hAnsi="Times New Roman"/>
                <w:sz w:val="15"/>
                <w:szCs w:val="15"/>
                <w:color w:val="231F20"/>
              </w:rPr>
              <w:t>Non-cash operating lease costs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411,812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414,396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429,056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ind w:left="400"/>
              <w:spacing w:after="0"/>
              <w:rPr>
                <w:sz w:val="20"/>
                <w:szCs w:val="20"/>
                <w:color w:val="auto"/>
              </w:rPr>
            </w:pPr>
            <w:r>
              <w:rPr>
                <w:rFonts w:ascii="Times New Roman" w:cs="Times New Roman" w:eastAsia="Times New Roman" w:hAnsi="Times New Roman"/>
                <w:sz w:val="15"/>
                <w:szCs w:val="15"/>
                <w:color w:val="231F20"/>
              </w:rPr>
              <w:t>Other non-operating income</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15"/>
                <w:szCs w:val="15"/>
                <w:color w:val="231F20"/>
              </w:rPr>
              <w:t>(4,800)</w:t>
            </w: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(4,727)</w:t>
            </w:r>
          </w:p>
        </w:tc>
        <w:tc>
          <w:tcPr>
            <w:tcW w:w="0" w:type="dxa"/>
            <w:vAlign w:val="bottom"/>
          </w:tcPr>
          <w:p>
            <w:pPr>
              <w:spacing w:after="0"/>
              <w:rPr>
                <w:sz w:val="1"/>
                <w:szCs w:val="1"/>
                <w:color w:val="auto"/>
              </w:rPr>
            </w:pPr>
          </w:p>
        </w:tc>
      </w:tr>
      <w:tr>
        <w:trPr>
          <w:trHeight w:val="186"/>
        </w:trPr>
        <w:tc>
          <w:tcPr>
            <w:tcW w:w="5120" w:type="dxa"/>
            <w:vAlign w:val="bottom"/>
          </w:tcPr>
          <w:p>
            <w:pPr>
              <w:ind w:left="400"/>
              <w:spacing w:after="0"/>
              <w:rPr>
                <w:sz w:val="20"/>
                <w:szCs w:val="20"/>
                <w:color w:val="auto"/>
              </w:rPr>
            </w:pPr>
            <w:r>
              <w:rPr>
                <w:rFonts w:ascii="Times New Roman" w:cs="Times New Roman" w:eastAsia="Times New Roman" w:hAnsi="Times New Roman"/>
                <w:sz w:val="15"/>
                <w:szCs w:val="15"/>
                <w:color w:val="231F20"/>
              </w:rPr>
              <w:t>Changes in assets and liabilities: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ind w:left="600"/>
              <w:spacing w:after="0"/>
              <w:rPr>
                <w:sz w:val="20"/>
                <w:szCs w:val="20"/>
                <w:color w:val="auto"/>
              </w:rPr>
            </w:pPr>
            <w:r>
              <w:rPr>
                <w:rFonts w:ascii="Times New Roman" w:cs="Times New Roman" w:eastAsia="Times New Roman" w:hAnsi="Times New Roman"/>
                <w:sz w:val="15"/>
                <w:szCs w:val="15"/>
                <w:color w:val="231F20"/>
              </w:rPr>
              <w:t>Receivables</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15"/>
                <w:szCs w:val="15"/>
                <w:color w:val="231F20"/>
              </w:rPr>
              <w:t>(5,621)</w:t>
            </w: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4,178</w:t>
            </w: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5,211</w:t>
            </w: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tcPr>
          <w:p>
            <w:pPr>
              <w:ind w:left="600"/>
              <w:spacing w:after="0"/>
              <w:rPr>
                <w:sz w:val="20"/>
                <w:szCs w:val="20"/>
                <w:color w:val="auto"/>
              </w:rPr>
            </w:pPr>
            <w:r>
              <w:rPr>
                <w:rFonts w:ascii="Times New Roman" w:cs="Times New Roman" w:eastAsia="Times New Roman" w:hAnsi="Times New Roman"/>
                <w:sz w:val="15"/>
                <w:szCs w:val="15"/>
                <w:color w:val="231F20"/>
              </w:rPr>
              <w:t>Merchandise inventories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63,119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30,767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(32,072)</w:t>
            </w: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ind w:left="600"/>
              <w:spacing w:after="0"/>
              <w:rPr>
                <w:sz w:val="20"/>
                <w:szCs w:val="20"/>
                <w:color w:val="auto"/>
              </w:rPr>
            </w:pPr>
            <w:r>
              <w:rPr>
                <w:rFonts w:ascii="Times New Roman" w:cs="Times New Roman" w:eastAsia="Times New Roman" w:hAnsi="Times New Roman"/>
                <w:sz w:val="15"/>
                <w:szCs w:val="15"/>
                <w:color w:val="231F20"/>
              </w:rPr>
              <w:t>Prepaid expenses and other assets</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818</w:t>
            </w: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15"/>
                <w:szCs w:val="15"/>
                <w:color w:val="231F20"/>
              </w:rPr>
              <w:t>(3,960)</w:t>
            </w: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(8,009)</w:t>
            </w:r>
          </w:p>
        </w:tc>
        <w:tc>
          <w:tcPr>
            <w:tcW w:w="0" w:type="dxa"/>
            <w:vAlign w:val="bottom"/>
          </w:tcPr>
          <w:p>
            <w:pPr>
              <w:spacing w:after="0"/>
              <w:rPr>
                <w:sz w:val="1"/>
                <w:szCs w:val="1"/>
                <w:color w:val="auto"/>
              </w:rPr>
            </w:pPr>
          </w:p>
        </w:tc>
      </w:tr>
      <w:tr>
        <w:trPr>
          <w:trHeight w:val="186"/>
        </w:trPr>
        <w:tc>
          <w:tcPr>
            <w:tcW w:w="5120" w:type="dxa"/>
            <w:vAlign w:val="bottom"/>
          </w:tcPr>
          <w:p>
            <w:pPr>
              <w:ind w:left="600"/>
              <w:spacing w:after="0"/>
              <w:rPr>
                <w:sz w:val="20"/>
                <w:szCs w:val="20"/>
                <w:color w:val="auto"/>
              </w:rPr>
            </w:pPr>
            <w:r>
              <w:rPr>
                <w:rFonts w:ascii="Times New Roman" w:cs="Times New Roman" w:eastAsia="Times New Roman" w:hAnsi="Times New Roman"/>
                <w:sz w:val="15"/>
                <w:szCs w:val="15"/>
                <w:color w:val="231F20"/>
              </w:rPr>
              <w:t>Accounts payable and book overdrafts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(42,992)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8,484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103,919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ind w:left="600"/>
              <w:spacing w:after="0"/>
              <w:rPr>
                <w:sz w:val="20"/>
                <w:szCs w:val="20"/>
                <w:color w:val="auto"/>
              </w:rPr>
            </w:pPr>
            <w:r>
              <w:rPr>
                <w:rFonts w:ascii="Times New Roman" w:cs="Times New Roman" w:eastAsia="Times New Roman" w:hAnsi="Times New Roman"/>
                <w:sz w:val="15"/>
                <w:szCs w:val="15"/>
                <w:color w:val="231F20"/>
              </w:rPr>
              <w:t>Accrued salaries and employee benefits</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15"/>
                <w:szCs w:val="15"/>
                <w:color w:val="231F20"/>
              </w:rPr>
              <w:t>(3,271)</w:t>
            </w: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56,981</w:t>
            </w: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11,347</w:t>
            </w: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tcPr>
          <w:p>
            <w:pPr>
              <w:ind w:left="600"/>
              <w:spacing w:after="0"/>
              <w:rPr>
                <w:sz w:val="20"/>
                <w:szCs w:val="20"/>
                <w:color w:val="auto"/>
              </w:rPr>
            </w:pPr>
            <w:r>
              <w:rPr>
                <w:rFonts w:ascii="Times New Roman" w:cs="Times New Roman" w:eastAsia="Times New Roman" w:hAnsi="Times New Roman"/>
                <w:sz w:val="15"/>
                <w:szCs w:val="15"/>
                <w:color w:val="231F20"/>
              </w:rPr>
              <w:t>Accrued expenses and other liabilities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24,987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(12,455)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(8,495)</w:t>
            </w: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ind w:left="600"/>
              <w:spacing w:after="0"/>
              <w:rPr>
                <w:sz w:val="20"/>
                <w:szCs w:val="20"/>
                <w:color w:val="auto"/>
              </w:rPr>
            </w:pPr>
            <w:r>
              <w:rPr>
                <w:rFonts w:ascii="Times New Roman" w:cs="Times New Roman" w:eastAsia="Times New Roman" w:hAnsi="Times New Roman"/>
                <w:sz w:val="15"/>
                <w:szCs w:val="15"/>
                <w:color w:val="231F20"/>
              </w:rPr>
              <w:t>Operating lease liabilities</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15"/>
                <w:szCs w:val="15"/>
                <w:color w:val="231F20"/>
              </w:rPr>
              <w:t>(371,134)</w:t>
            </w: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15"/>
                <w:szCs w:val="15"/>
                <w:color w:val="231F20"/>
              </w:rPr>
              <w:t>(418,219)</w:t>
            </w: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(446,981)</w:t>
            </w:r>
          </w:p>
        </w:tc>
        <w:tc>
          <w:tcPr>
            <w:tcW w:w="0" w:type="dxa"/>
            <w:vAlign w:val="bottom"/>
          </w:tcPr>
          <w:p>
            <w:pPr>
              <w:spacing w:after="0"/>
              <w:rPr>
                <w:sz w:val="1"/>
                <w:szCs w:val="1"/>
                <w:color w:val="auto"/>
              </w:rPr>
            </w:pPr>
          </w:p>
        </w:tc>
      </w:tr>
      <w:tr>
        <w:trPr>
          <w:trHeight w:val="186"/>
        </w:trPr>
        <w:tc>
          <w:tcPr>
            <w:tcW w:w="5120" w:type="dxa"/>
            <w:vAlign w:val="bottom"/>
          </w:tcPr>
          <w:p>
            <w:pPr>
              <w:ind w:left="600"/>
              <w:spacing w:after="0"/>
              <w:rPr>
                <w:sz w:val="20"/>
                <w:szCs w:val="20"/>
                <w:color w:val="auto"/>
              </w:rPr>
            </w:pPr>
            <w:r>
              <w:rPr>
                <w:rFonts w:ascii="Times New Roman" w:cs="Times New Roman" w:eastAsia="Times New Roman" w:hAnsi="Times New Roman"/>
                <w:sz w:val="15"/>
                <w:szCs w:val="15"/>
                <w:color w:val="231F20"/>
              </w:rPr>
              <w:t>Other long-term liabilities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(3,817)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(7,201)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3,015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20" w:type="dxa"/>
            <w:vAlign w:val="bottom"/>
            <w:tcBorders>
              <w:top w:val="single" w:sz="8" w:color="EAEBEC"/>
              <w:bottom w:val="single" w:sz="8" w:color="EAEBEC"/>
            </w:tcBorders>
            <w:shd w:val="clear" w:color="auto" w:fill="EAEBEC"/>
          </w:tcPr>
          <w:p>
            <w:pPr>
              <w:ind w:left="800"/>
              <w:spacing w:after="0"/>
              <w:rPr>
                <w:sz w:val="20"/>
                <w:szCs w:val="20"/>
                <w:color w:val="auto"/>
              </w:rPr>
            </w:pPr>
            <w:r>
              <w:rPr>
                <w:rFonts w:ascii="Times New Roman" w:cs="Times New Roman" w:eastAsia="Times New Roman" w:hAnsi="Times New Roman"/>
                <w:sz w:val="15"/>
                <w:szCs w:val="15"/>
                <w:color w:val="231F20"/>
              </w:rPr>
              <w:t>Net cash provided by operating activities</w:t>
            </w:r>
          </w:p>
        </w:tc>
        <w:tc>
          <w:tcPr>
            <w:tcW w:w="280" w:type="dxa"/>
            <w:vAlign w:val="bottom"/>
            <w:tcBorders>
              <w:top w:val="single" w:sz="8" w:color="EAEBEC"/>
              <w:bottom w:val="single" w:sz="8" w:color="EAEBEC"/>
            </w:tcBorders>
            <w:shd w:val="clear" w:color="auto" w:fill="EAEBEC"/>
          </w:tcPr>
          <w:p>
            <w:pPr>
              <w:spacing w:after="0"/>
              <w:rPr>
                <w:sz w:val="17"/>
                <w:szCs w:val="17"/>
                <w:color w:val="auto"/>
              </w:rPr>
            </w:pPr>
          </w:p>
        </w:tc>
        <w:tc>
          <w:tcPr>
            <w:tcW w:w="160" w:type="dxa"/>
            <w:vAlign w:val="bottom"/>
            <w:tcBorders>
              <w:top w:val="single" w:sz="8" w:color="231F20"/>
              <w:bottom w:val="single" w:sz="8" w:color="231F20"/>
            </w:tcBorders>
            <w:shd w:val="clear" w:color="auto" w:fill="EAEBEC"/>
          </w:tcPr>
          <w:p>
            <w:pPr>
              <w:spacing w:after="0"/>
              <w:rPr>
                <w:sz w:val="17"/>
                <w:szCs w:val="17"/>
                <w:color w:val="auto"/>
              </w:rPr>
            </w:pPr>
          </w:p>
        </w:tc>
        <w:tc>
          <w:tcPr>
            <w:tcW w:w="100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314,050</w:t>
            </w:r>
          </w:p>
        </w:tc>
        <w:tc>
          <w:tcPr>
            <w:tcW w:w="140" w:type="dxa"/>
            <w:vAlign w:val="bottom"/>
            <w:tcBorders>
              <w:top w:val="single" w:sz="8" w:color="EAEBEC"/>
              <w:bottom w:val="single" w:sz="8" w:color="EAEBEC"/>
            </w:tcBorders>
            <w:shd w:val="clear" w:color="auto" w:fill="EAEBEC"/>
          </w:tcPr>
          <w:p>
            <w:pPr>
              <w:spacing w:after="0"/>
              <w:rPr>
                <w:sz w:val="17"/>
                <w:szCs w:val="17"/>
                <w:color w:val="auto"/>
              </w:rPr>
            </w:pPr>
          </w:p>
        </w:tc>
        <w:tc>
          <w:tcPr>
            <w:tcW w:w="80" w:type="dxa"/>
            <w:vAlign w:val="bottom"/>
            <w:tcBorders>
              <w:top w:val="single" w:sz="8" w:color="EAEBEC"/>
              <w:bottom w:val="single" w:sz="8" w:color="EAEBEC"/>
            </w:tcBorders>
            <w:shd w:val="clear" w:color="auto" w:fill="EAEBEC"/>
          </w:tcPr>
          <w:p>
            <w:pPr>
              <w:spacing w:after="0"/>
              <w:rPr>
                <w:sz w:val="17"/>
                <w:szCs w:val="17"/>
                <w:color w:val="auto"/>
              </w:rPr>
            </w:pPr>
          </w:p>
        </w:tc>
        <w:tc>
          <w:tcPr>
            <w:tcW w:w="140" w:type="dxa"/>
            <w:vAlign w:val="bottom"/>
            <w:tcBorders>
              <w:top w:val="single" w:sz="8" w:color="231F20"/>
              <w:bottom w:val="single" w:sz="8" w:color="231F20"/>
            </w:tcBorders>
            <w:shd w:val="clear" w:color="auto" w:fill="EAEBEC"/>
          </w:tcPr>
          <w:p>
            <w:pPr>
              <w:spacing w:after="0"/>
              <w:rPr>
                <w:sz w:val="17"/>
                <w:szCs w:val="17"/>
                <w:color w:val="auto"/>
              </w:rPr>
            </w:pPr>
          </w:p>
        </w:tc>
        <w:tc>
          <w:tcPr>
            <w:tcW w:w="100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177,673</w:t>
            </w:r>
          </w:p>
        </w:tc>
        <w:tc>
          <w:tcPr>
            <w:tcW w:w="140" w:type="dxa"/>
            <w:vAlign w:val="bottom"/>
            <w:tcBorders>
              <w:top w:val="single" w:sz="8" w:color="EAEBEC"/>
              <w:bottom w:val="single" w:sz="8" w:color="EAEBEC"/>
            </w:tcBorders>
            <w:shd w:val="clear" w:color="auto" w:fill="EAEBEC"/>
          </w:tcPr>
          <w:p>
            <w:pPr>
              <w:spacing w:after="0"/>
              <w:rPr>
                <w:sz w:val="17"/>
                <w:szCs w:val="17"/>
                <w:color w:val="auto"/>
              </w:rPr>
            </w:pPr>
          </w:p>
        </w:tc>
        <w:tc>
          <w:tcPr>
            <w:tcW w:w="80" w:type="dxa"/>
            <w:vAlign w:val="bottom"/>
            <w:tcBorders>
              <w:top w:val="single" w:sz="8" w:color="EAEBEC"/>
              <w:bottom w:val="single" w:sz="8" w:color="EAEBEC"/>
            </w:tcBorders>
            <w:shd w:val="clear" w:color="auto" w:fill="EAEBEC"/>
          </w:tcPr>
          <w:p>
            <w:pPr>
              <w:spacing w:after="0"/>
              <w:rPr>
                <w:sz w:val="17"/>
                <w:szCs w:val="17"/>
                <w:color w:val="auto"/>
              </w:rPr>
            </w:pPr>
          </w:p>
        </w:tc>
        <w:tc>
          <w:tcPr>
            <w:tcW w:w="160" w:type="dxa"/>
            <w:vAlign w:val="bottom"/>
            <w:tcBorders>
              <w:top w:val="single" w:sz="8" w:color="231F20"/>
              <w:bottom w:val="single" w:sz="8" w:color="231F20"/>
            </w:tcBorders>
            <w:shd w:val="clear" w:color="auto" w:fill="EAEBEC"/>
          </w:tcPr>
          <w:p>
            <w:pPr>
              <w:spacing w:after="0"/>
              <w:rPr>
                <w:sz w:val="17"/>
                <w:szCs w:val="17"/>
                <w:color w:val="auto"/>
              </w:rPr>
            </w:pPr>
          </w:p>
        </w:tc>
        <w:tc>
          <w:tcPr>
            <w:tcW w:w="100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215,719</w:t>
            </w:r>
          </w:p>
        </w:tc>
        <w:tc>
          <w:tcPr>
            <w:tcW w:w="60" w:type="dxa"/>
            <w:vAlign w:val="bottom"/>
            <w:tcBorders>
              <w:top w:val="single" w:sz="8" w:color="EAEBEC"/>
              <w:bottom w:val="single" w:sz="8" w:color="EAEBEC"/>
            </w:tcBorders>
            <w:shd w:val="clear" w:color="auto" w:fill="EAEBE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51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231F20"/>
              </w:rPr>
              <w:t>Cash flows from investing activities: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5"/>
                <w:szCs w:val="15"/>
                <w:color w:val="231F20"/>
              </w:rPr>
              <w:t>Cash paid for fixed assets</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100"/>
              <w:spacing w:after="0"/>
              <w:rPr>
                <w:sz w:val="20"/>
                <w:szCs w:val="20"/>
                <w:color w:val="auto"/>
              </w:rPr>
            </w:pPr>
            <w:r>
              <w:rPr>
                <w:rFonts w:ascii="Times New Roman" w:cs="Times New Roman" w:eastAsia="Times New Roman" w:hAnsi="Times New Roman"/>
                <w:sz w:val="15"/>
                <w:szCs w:val="15"/>
                <w:color w:val="231F20"/>
              </w:rPr>
              <w:t>(127,097)</w:t>
            </w: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15"/>
                <w:szCs w:val="15"/>
                <w:color w:val="231F20"/>
              </w:rPr>
              <w:t>(127,990)</w:t>
            </w: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(225,598)</w:t>
            </w:r>
          </w:p>
        </w:tc>
        <w:tc>
          <w:tcPr>
            <w:tcW w:w="0" w:type="dxa"/>
            <w:vAlign w:val="bottom"/>
          </w:tcPr>
          <w:p>
            <w:pPr>
              <w:spacing w:after="0"/>
              <w:rPr>
                <w:sz w:val="1"/>
                <w:szCs w:val="1"/>
                <w:color w:val="auto"/>
              </w:rPr>
            </w:pPr>
          </w:p>
        </w:tc>
      </w:tr>
      <w:tr>
        <w:trPr>
          <w:trHeight w:val="186"/>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Cash paid for acquisitions, net of cash acquired (Note 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(629)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(6,725)</w:t>
            </w: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5"/>
                <w:szCs w:val="15"/>
                <w:color w:val="231F20"/>
              </w:rPr>
              <w:t>Cash paid for investment</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15"/>
                <w:szCs w:val="15"/>
                <w:color w:val="231F20"/>
              </w:rPr>
              <w:t>(457)</w:t>
            </w: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60" w:type="dxa"/>
            <w:vAlign w:val="bottom"/>
            <w:gridSpan w:val="2"/>
            <w:shd w:val="clear" w:color="auto" w:fill="EAEBEC"/>
          </w:tcPr>
          <w:p>
            <w:pPr>
              <w:jc w:val="right"/>
              <w:ind w:right="43"/>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186"/>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Proceeds from investments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998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24,878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5"/>
                <w:szCs w:val="15"/>
                <w:color w:val="231F20"/>
              </w:rPr>
              <w:t>Proceeds from sale of assets</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2,541</w:t>
            </w: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1,369</w:t>
            </w: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60" w:type="dxa"/>
            <w:vAlign w:val="bottom"/>
            <w:gridSpan w:val="2"/>
            <w:shd w:val="clear" w:color="auto" w:fill="EAEBEC"/>
          </w:tcPr>
          <w:p>
            <w:pPr>
              <w:jc w:val="right"/>
              <w:ind w:right="43"/>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186"/>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Cash received from partial surrender of officers' life insurance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2,806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201"/>
        </w:trPr>
        <w:tc>
          <w:tcPr>
            <w:tcW w:w="5120" w:type="dxa"/>
            <w:vAlign w:val="bottom"/>
            <w:tcBorders>
              <w:top w:val="single" w:sz="8" w:color="EAEBEC"/>
              <w:bottom w:val="single" w:sz="8" w:color="EAEBEC"/>
            </w:tcBorders>
            <w:shd w:val="clear" w:color="auto" w:fill="EAEBEC"/>
          </w:tcPr>
          <w:p>
            <w:pPr>
              <w:ind w:left="800"/>
              <w:spacing w:after="0"/>
              <w:rPr>
                <w:sz w:val="20"/>
                <w:szCs w:val="20"/>
                <w:color w:val="auto"/>
              </w:rPr>
            </w:pPr>
            <w:r>
              <w:rPr>
                <w:rFonts w:ascii="Times New Roman" w:cs="Times New Roman" w:eastAsia="Times New Roman" w:hAnsi="Times New Roman"/>
                <w:sz w:val="15"/>
                <w:szCs w:val="15"/>
                <w:color w:val="231F20"/>
              </w:rPr>
              <w:t>Net cash used in investing activities</w:t>
            </w:r>
          </w:p>
        </w:tc>
        <w:tc>
          <w:tcPr>
            <w:tcW w:w="280" w:type="dxa"/>
            <w:vAlign w:val="bottom"/>
            <w:tcBorders>
              <w:top w:val="single" w:sz="8" w:color="EAEBEC"/>
              <w:bottom w:val="single" w:sz="8" w:color="EAEBEC"/>
            </w:tcBorders>
            <w:shd w:val="clear" w:color="auto" w:fill="EAEBEC"/>
          </w:tcPr>
          <w:p>
            <w:pPr>
              <w:spacing w:after="0"/>
              <w:rPr>
                <w:sz w:val="17"/>
                <w:szCs w:val="17"/>
                <w:color w:val="auto"/>
              </w:rPr>
            </w:pPr>
          </w:p>
        </w:tc>
        <w:tc>
          <w:tcPr>
            <w:tcW w:w="160" w:type="dxa"/>
            <w:vAlign w:val="bottom"/>
            <w:tcBorders>
              <w:top w:val="single" w:sz="8" w:color="231F20"/>
              <w:bottom w:val="single" w:sz="8" w:color="231F20"/>
            </w:tcBorders>
            <w:shd w:val="clear" w:color="auto" w:fill="EAEBEC"/>
          </w:tcPr>
          <w:p>
            <w:pPr>
              <w:spacing w:after="0"/>
              <w:rPr>
                <w:sz w:val="17"/>
                <w:szCs w:val="17"/>
                <w:color w:val="auto"/>
              </w:rPr>
            </w:pPr>
          </w:p>
        </w:tc>
        <w:tc>
          <w:tcPr>
            <w:tcW w:w="100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(124,556)</w:t>
            </w:r>
          </w:p>
        </w:tc>
        <w:tc>
          <w:tcPr>
            <w:tcW w:w="140" w:type="dxa"/>
            <w:vAlign w:val="bottom"/>
            <w:tcBorders>
              <w:top w:val="single" w:sz="8" w:color="EAEBEC"/>
              <w:bottom w:val="single" w:sz="8" w:color="EAEBEC"/>
            </w:tcBorders>
            <w:shd w:val="clear" w:color="auto" w:fill="EAEBEC"/>
          </w:tcPr>
          <w:p>
            <w:pPr>
              <w:spacing w:after="0"/>
              <w:rPr>
                <w:sz w:val="17"/>
                <w:szCs w:val="17"/>
                <w:color w:val="auto"/>
              </w:rPr>
            </w:pPr>
          </w:p>
        </w:tc>
        <w:tc>
          <w:tcPr>
            <w:tcW w:w="80" w:type="dxa"/>
            <w:vAlign w:val="bottom"/>
            <w:tcBorders>
              <w:top w:val="single" w:sz="8" w:color="EAEBEC"/>
              <w:bottom w:val="single" w:sz="8" w:color="EAEBEC"/>
            </w:tcBorders>
            <w:shd w:val="clear" w:color="auto" w:fill="EAEBEC"/>
          </w:tcPr>
          <w:p>
            <w:pPr>
              <w:spacing w:after="0"/>
              <w:rPr>
                <w:sz w:val="17"/>
                <w:szCs w:val="17"/>
                <w:color w:val="auto"/>
              </w:rPr>
            </w:pPr>
          </w:p>
        </w:tc>
        <w:tc>
          <w:tcPr>
            <w:tcW w:w="140" w:type="dxa"/>
            <w:vAlign w:val="bottom"/>
            <w:tcBorders>
              <w:top w:val="single" w:sz="8" w:color="231F20"/>
              <w:bottom w:val="single" w:sz="8" w:color="231F20"/>
            </w:tcBorders>
            <w:shd w:val="clear" w:color="auto" w:fill="EAEBEC"/>
          </w:tcPr>
          <w:p>
            <w:pPr>
              <w:spacing w:after="0"/>
              <w:rPr>
                <w:sz w:val="17"/>
                <w:szCs w:val="17"/>
                <w:color w:val="auto"/>
              </w:rPr>
            </w:pPr>
          </w:p>
        </w:tc>
        <w:tc>
          <w:tcPr>
            <w:tcW w:w="100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(123,903)</w:t>
            </w:r>
          </w:p>
        </w:tc>
        <w:tc>
          <w:tcPr>
            <w:tcW w:w="140" w:type="dxa"/>
            <w:vAlign w:val="bottom"/>
            <w:tcBorders>
              <w:top w:val="single" w:sz="8" w:color="EAEBEC"/>
              <w:bottom w:val="single" w:sz="8" w:color="EAEBEC"/>
            </w:tcBorders>
            <w:shd w:val="clear" w:color="auto" w:fill="EAEBEC"/>
          </w:tcPr>
          <w:p>
            <w:pPr>
              <w:spacing w:after="0"/>
              <w:rPr>
                <w:sz w:val="17"/>
                <w:szCs w:val="17"/>
                <w:color w:val="auto"/>
              </w:rPr>
            </w:pPr>
          </w:p>
        </w:tc>
        <w:tc>
          <w:tcPr>
            <w:tcW w:w="80" w:type="dxa"/>
            <w:vAlign w:val="bottom"/>
            <w:tcBorders>
              <w:top w:val="single" w:sz="8" w:color="EAEBEC"/>
              <w:bottom w:val="single" w:sz="8" w:color="EAEBEC"/>
            </w:tcBorders>
            <w:shd w:val="clear" w:color="auto" w:fill="EAEBEC"/>
          </w:tcPr>
          <w:p>
            <w:pPr>
              <w:spacing w:after="0"/>
              <w:rPr>
                <w:sz w:val="17"/>
                <w:szCs w:val="17"/>
                <w:color w:val="auto"/>
              </w:rPr>
            </w:pPr>
          </w:p>
        </w:tc>
        <w:tc>
          <w:tcPr>
            <w:tcW w:w="160" w:type="dxa"/>
            <w:vAlign w:val="bottom"/>
            <w:tcBorders>
              <w:top w:val="single" w:sz="8" w:color="231F20"/>
              <w:bottom w:val="single" w:sz="8" w:color="231F20"/>
            </w:tcBorders>
            <w:shd w:val="clear" w:color="auto" w:fill="EAEBEC"/>
          </w:tcPr>
          <w:p>
            <w:pPr>
              <w:spacing w:after="0"/>
              <w:rPr>
                <w:sz w:val="17"/>
                <w:szCs w:val="17"/>
                <w:color w:val="auto"/>
              </w:rPr>
            </w:pPr>
          </w:p>
        </w:tc>
        <w:tc>
          <w:tcPr>
            <w:tcW w:w="100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(207,445</w:t>
            </w:r>
          </w:p>
        </w:tc>
        <w:tc>
          <w:tcPr>
            <w:tcW w:w="60" w:type="dxa"/>
            <w:vAlign w:val="bottom"/>
            <w:tcBorders>
              <w:top w:val="single" w:sz="8" w:color="EAEBEC"/>
              <w:bottom w:val="single" w:sz="8" w:color="EAEBEC"/>
            </w:tcBorders>
            <w:shd w:val="clear" w:color="auto" w:fill="EAEBEC"/>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EAEBEC"/>
              </w:rPr>
              <w:t>)</w:t>
            </w:r>
          </w:p>
        </w:tc>
        <w:tc>
          <w:tcPr>
            <w:tcW w:w="0" w:type="dxa"/>
            <w:vAlign w:val="bottom"/>
          </w:tcPr>
          <w:p>
            <w:pPr>
              <w:spacing w:after="0"/>
              <w:rPr>
                <w:sz w:val="1"/>
                <w:szCs w:val="1"/>
                <w:color w:val="auto"/>
              </w:rPr>
            </w:pPr>
          </w:p>
        </w:tc>
      </w:tr>
      <w:tr>
        <w:trPr>
          <w:trHeight w:val="161"/>
        </w:trPr>
        <w:tc>
          <w:tcPr>
            <w:tcW w:w="5120" w:type="dxa"/>
            <w:vAlign w:val="bottom"/>
          </w:tcPr>
          <w:p>
            <w:pPr>
              <w:spacing w:after="0" w:line="161" w:lineRule="exact"/>
              <w:rPr>
                <w:sz w:val="20"/>
                <w:szCs w:val="20"/>
                <w:color w:val="auto"/>
              </w:rPr>
            </w:pPr>
            <w:r>
              <w:rPr>
                <w:rFonts w:ascii="Times New Roman" w:cs="Times New Roman" w:eastAsia="Times New Roman" w:hAnsi="Times New Roman"/>
                <w:sz w:val="15"/>
                <w:szCs w:val="15"/>
                <w:color w:val="231F20"/>
              </w:rPr>
              <w:t>Cash flows from financing activities: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5"/>
                <w:szCs w:val="15"/>
                <w:color w:val="231F20"/>
              </w:rPr>
              <w:t>Borrowings under long-term debt agreements</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201,000</w:t>
            </w: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273,000</w:t>
            </w: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Repayments of long-term debt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(95,250)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(201,000)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(348,000)</w:t>
            </w: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5"/>
                <w:szCs w:val="15"/>
                <w:color w:val="231F20"/>
              </w:rPr>
              <w:t>Debt refinancing costs</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14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15"/>
                <w:szCs w:val="15"/>
                <w:color w:val="231F20"/>
              </w:rPr>
              <w:t>(3,028)</w:t>
            </w: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60" w:type="dxa"/>
            <w:vAlign w:val="bottom"/>
            <w:gridSpan w:val="2"/>
            <w:shd w:val="clear" w:color="auto" w:fill="EAEBEC"/>
          </w:tcPr>
          <w:p>
            <w:pPr>
              <w:jc w:val="right"/>
              <w:ind w:right="43"/>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186"/>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Payments for finance lease liabilities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(5,614)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(5,707)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(5,925)</w:t>
            </w: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5"/>
                <w:szCs w:val="15"/>
                <w:color w:val="231F20"/>
              </w:rPr>
              <w:t>Proceeds from employee stock purchase plan and stock option exercises</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3,677</w:t>
            </w: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3,770</w:t>
            </w: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4,223</w:t>
            </w: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Tax withholdings on stock-based awards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231F20"/>
              </w:rPr>
              <w:t>(4,560)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231F20"/>
              </w:rPr>
              <w:t>(6,289)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(8,650)</w:t>
            </w:r>
          </w:p>
        </w:tc>
        <w:tc>
          <w:tcPr>
            <w:tcW w:w="0" w:type="dxa"/>
            <w:vAlign w:val="bottom"/>
          </w:tcPr>
          <w:p>
            <w:pPr>
              <w:spacing w:after="0"/>
              <w:rPr>
                <w:sz w:val="1"/>
                <w:szCs w:val="1"/>
                <w:color w:val="auto"/>
              </w:rPr>
            </w:pPr>
          </w:p>
        </w:tc>
      </w:tr>
      <w:tr>
        <w:trPr>
          <w:trHeight w:val="206"/>
        </w:trPr>
        <w:tc>
          <w:tcPr>
            <w:tcW w:w="512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5"/>
                <w:szCs w:val="15"/>
                <w:color w:val="231F20"/>
              </w:rPr>
              <w:t>Proceeds from issuance of common stock</w:t>
            </w:r>
          </w:p>
        </w:tc>
        <w:tc>
          <w:tcPr>
            <w:tcW w:w="280" w:type="dxa"/>
            <w:vAlign w:val="bottom"/>
            <w:shd w:val="clear" w:color="auto" w:fill="EAEBEC"/>
          </w:tcPr>
          <w:p>
            <w:pPr>
              <w:spacing w:after="0"/>
              <w:rPr>
                <w:sz w:val="17"/>
                <w:szCs w:val="17"/>
                <w:color w:val="auto"/>
              </w:rPr>
            </w:pPr>
          </w:p>
        </w:tc>
        <w:tc>
          <w:tcPr>
            <w:tcW w:w="160" w:type="dxa"/>
            <w:vAlign w:val="bottom"/>
            <w:shd w:val="clear" w:color="auto" w:fill="EAEBEC"/>
          </w:tcPr>
          <w:p>
            <w:pPr>
              <w:spacing w:after="0"/>
              <w:rPr>
                <w:sz w:val="17"/>
                <w:szCs w:val="17"/>
                <w:color w:val="auto"/>
              </w:rPr>
            </w:pPr>
          </w:p>
        </w:tc>
        <w:tc>
          <w:tcPr>
            <w:tcW w:w="1140" w:type="dxa"/>
            <w:vAlign w:val="bottom"/>
            <w:gridSpan w:val="2"/>
            <w:shd w:val="clear" w:color="auto" w:fill="EAEBEC"/>
          </w:tcPr>
          <w:p>
            <w:pPr>
              <w:jc w:val="right"/>
              <w:ind w:right="16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EAEBEC"/>
          </w:tcPr>
          <w:p>
            <w:pPr>
              <w:spacing w:after="0"/>
              <w:rPr>
                <w:sz w:val="17"/>
                <w:szCs w:val="17"/>
                <w:color w:val="auto"/>
              </w:rPr>
            </w:pPr>
          </w:p>
        </w:tc>
        <w:tc>
          <w:tcPr>
            <w:tcW w:w="140" w:type="dxa"/>
            <w:vAlign w:val="bottom"/>
            <w:shd w:val="clear" w:color="auto" w:fill="EAEBEC"/>
          </w:tcPr>
          <w:p>
            <w:pPr>
              <w:spacing w:after="0"/>
              <w:rPr>
                <w:sz w:val="17"/>
                <w:szCs w:val="17"/>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2,500</w:t>
            </w:r>
          </w:p>
        </w:tc>
        <w:tc>
          <w:tcPr>
            <w:tcW w:w="140" w:type="dxa"/>
            <w:vAlign w:val="bottom"/>
            <w:shd w:val="clear" w:color="auto" w:fill="EAEBEC"/>
          </w:tcPr>
          <w:p>
            <w:pPr>
              <w:spacing w:after="0"/>
              <w:rPr>
                <w:sz w:val="17"/>
                <w:szCs w:val="17"/>
                <w:color w:val="auto"/>
              </w:rPr>
            </w:pPr>
          </w:p>
        </w:tc>
        <w:tc>
          <w:tcPr>
            <w:tcW w:w="80" w:type="dxa"/>
            <w:vAlign w:val="bottom"/>
            <w:shd w:val="clear" w:color="auto" w:fill="EAEBEC"/>
          </w:tcPr>
          <w:p>
            <w:pPr>
              <w:spacing w:after="0"/>
              <w:rPr>
                <w:sz w:val="17"/>
                <w:szCs w:val="17"/>
                <w:color w:val="auto"/>
              </w:rPr>
            </w:pPr>
          </w:p>
        </w:tc>
        <w:tc>
          <w:tcPr>
            <w:tcW w:w="160" w:type="dxa"/>
            <w:vAlign w:val="bottom"/>
            <w:shd w:val="clear" w:color="auto" w:fill="EAEBEC"/>
          </w:tcPr>
          <w:p>
            <w:pPr>
              <w:spacing w:after="0"/>
              <w:rPr>
                <w:sz w:val="17"/>
                <w:szCs w:val="17"/>
                <w:color w:val="auto"/>
              </w:rPr>
            </w:pPr>
          </w:p>
        </w:tc>
        <w:tc>
          <w:tcPr>
            <w:tcW w:w="1060" w:type="dxa"/>
            <w:vAlign w:val="bottom"/>
            <w:gridSpan w:val="2"/>
            <w:shd w:val="clear" w:color="auto" w:fill="EAEBEC"/>
          </w:tcPr>
          <w:p>
            <w:pPr>
              <w:jc w:val="right"/>
              <w:ind w:right="43"/>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161"/>
        </w:trPr>
        <w:tc>
          <w:tcPr>
            <w:tcW w:w="5120" w:type="dxa"/>
            <w:vAlign w:val="bottom"/>
            <w:tcBorders>
              <w:top w:val="single" w:sz="8" w:color="EAEBEC"/>
              <w:bottom w:val="single" w:sz="8" w:color="EAEBEC"/>
            </w:tcBorders>
          </w:tcPr>
          <w:p>
            <w:pPr>
              <w:ind w:left="800"/>
              <w:spacing w:after="0" w:line="161" w:lineRule="exact"/>
              <w:rPr>
                <w:sz w:val="20"/>
                <w:szCs w:val="20"/>
                <w:color w:val="auto"/>
              </w:rPr>
            </w:pPr>
            <w:r>
              <w:rPr>
                <w:rFonts w:ascii="Times New Roman" w:cs="Times New Roman" w:eastAsia="Times New Roman" w:hAnsi="Times New Roman"/>
                <w:sz w:val="15"/>
                <w:szCs w:val="15"/>
                <w:color w:val="231F20"/>
              </w:rPr>
              <w:t>Net cash used in financing activities</w:t>
            </w:r>
          </w:p>
        </w:tc>
        <w:tc>
          <w:tcPr>
            <w:tcW w:w="280" w:type="dxa"/>
            <w:vAlign w:val="bottom"/>
            <w:tcBorders>
              <w:top w:val="single" w:sz="8" w:color="EAEBEC"/>
              <w:bottom w:val="single" w:sz="8" w:color="EAEBEC"/>
            </w:tcBorders>
          </w:tcPr>
          <w:p>
            <w:pPr>
              <w:spacing w:after="0"/>
              <w:rPr>
                <w:sz w:val="14"/>
                <w:szCs w:val="14"/>
                <w:color w:val="auto"/>
              </w:rPr>
            </w:pPr>
          </w:p>
        </w:tc>
        <w:tc>
          <w:tcPr>
            <w:tcW w:w="160" w:type="dxa"/>
            <w:vAlign w:val="bottom"/>
            <w:tcBorders>
              <w:top w:val="single" w:sz="8" w:color="231F20"/>
              <w:bottom w:val="single" w:sz="8" w:color="231F20"/>
            </w:tcBorders>
          </w:tcPr>
          <w:p>
            <w:pPr>
              <w:spacing w:after="0"/>
              <w:rPr>
                <w:sz w:val="14"/>
                <w:szCs w:val="14"/>
                <w:color w:val="auto"/>
              </w:rPr>
            </w:pPr>
          </w:p>
        </w:tc>
        <w:tc>
          <w:tcPr>
            <w:tcW w:w="1000" w:type="dxa"/>
            <w:vAlign w:val="bottom"/>
            <w:tcBorders>
              <w:top w:val="single" w:sz="8" w:color="231F20"/>
              <w:bottom w:val="single" w:sz="8" w:color="231F20"/>
            </w:tcBorders>
          </w:tcPr>
          <w:p>
            <w:pPr>
              <w:jc w:val="right"/>
              <w:spacing w:after="0" w:line="161" w:lineRule="exact"/>
              <w:rPr>
                <w:sz w:val="20"/>
                <w:szCs w:val="20"/>
                <w:color w:val="auto"/>
              </w:rPr>
            </w:pPr>
            <w:r>
              <w:rPr>
                <w:rFonts w:ascii="Times New Roman" w:cs="Times New Roman" w:eastAsia="Times New Roman" w:hAnsi="Times New Roman"/>
                <w:sz w:val="15"/>
                <w:szCs w:val="15"/>
                <w:color w:val="231F20"/>
              </w:rPr>
              <w:t>(101,747)</w:t>
            </w:r>
          </w:p>
        </w:tc>
        <w:tc>
          <w:tcPr>
            <w:tcW w:w="140" w:type="dxa"/>
            <w:vAlign w:val="bottom"/>
            <w:tcBorders>
              <w:top w:val="single" w:sz="8" w:color="EAEBEC"/>
              <w:bottom w:val="single" w:sz="8" w:color="EAEBEC"/>
            </w:tcBorders>
          </w:tcPr>
          <w:p>
            <w:pPr>
              <w:spacing w:after="0"/>
              <w:rPr>
                <w:sz w:val="14"/>
                <w:szCs w:val="14"/>
                <w:color w:val="auto"/>
              </w:rPr>
            </w:pPr>
          </w:p>
        </w:tc>
        <w:tc>
          <w:tcPr>
            <w:tcW w:w="80" w:type="dxa"/>
            <w:vAlign w:val="bottom"/>
            <w:tcBorders>
              <w:top w:val="single" w:sz="8" w:color="EAEBEC"/>
              <w:bottom w:val="single" w:sz="8" w:color="EAEBEC"/>
            </w:tcBorders>
          </w:tcPr>
          <w:p>
            <w:pPr>
              <w:spacing w:after="0"/>
              <w:rPr>
                <w:sz w:val="14"/>
                <w:szCs w:val="14"/>
                <w:color w:val="auto"/>
              </w:rPr>
            </w:pPr>
          </w:p>
        </w:tc>
        <w:tc>
          <w:tcPr>
            <w:tcW w:w="140" w:type="dxa"/>
            <w:vAlign w:val="bottom"/>
            <w:tcBorders>
              <w:top w:val="single" w:sz="8" w:color="231F20"/>
              <w:bottom w:val="single" w:sz="8" w:color="231F20"/>
            </w:tcBorders>
          </w:tcPr>
          <w:p>
            <w:pPr>
              <w:spacing w:after="0"/>
              <w:rPr>
                <w:sz w:val="14"/>
                <w:szCs w:val="14"/>
                <w:color w:val="auto"/>
              </w:rPr>
            </w:pPr>
          </w:p>
        </w:tc>
        <w:tc>
          <w:tcPr>
            <w:tcW w:w="1000" w:type="dxa"/>
            <w:vAlign w:val="bottom"/>
            <w:tcBorders>
              <w:top w:val="single" w:sz="8" w:color="231F20"/>
              <w:bottom w:val="single" w:sz="8" w:color="231F20"/>
            </w:tcBorders>
          </w:tcPr>
          <w:p>
            <w:pPr>
              <w:jc w:val="right"/>
              <w:spacing w:after="0" w:line="161" w:lineRule="exact"/>
              <w:rPr>
                <w:sz w:val="20"/>
                <w:szCs w:val="20"/>
                <w:color w:val="auto"/>
              </w:rPr>
            </w:pPr>
            <w:r>
              <w:rPr>
                <w:rFonts w:ascii="Times New Roman" w:cs="Times New Roman" w:eastAsia="Times New Roman" w:hAnsi="Times New Roman"/>
                <w:sz w:val="15"/>
                <w:szCs w:val="15"/>
                <w:color w:val="231F20"/>
              </w:rPr>
              <w:t>(8,754)</w:t>
            </w:r>
          </w:p>
        </w:tc>
        <w:tc>
          <w:tcPr>
            <w:tcW w:w="140" w:type="dxa"/>
            <w:vAlign w:val="bottom"/>
            <w:tcBorders>
              <w:top w:val="single" w:sz="8" w:color="EAEBEC"/>
              <w:bottom w:val="single" w:sz="8" w:color="EAEBEC"/>
            </w:tcBorders>
          </w:tcPr>
          <w:p>
            <w:pPr>
              <w:spacing w:after="0"/>
              <w:rPr>
                <w:sz w:val="14"/>
                <w:szCs w:val="14"/>
                <w:color w:val="auto"/>
              </w:rPr>
            </w:pPr>
          </w:p>
        </w:tc>
        <w:tc>
          <w:tcPr>
            <w:tcW w:w="80" w:type="dxa"/>
            <w:vAlign w:val="bottom"/>
            <w:tcBorders>
              <w:top w:val="single" w:sz="8" w:color="EAEBEC"/>
              <w:bottom w:val="single" w:sz="8" w:color="EAEBEC"/>
            </w:tcBorders>
          </w:tcPr>
          <w:p>
            <w:pPr>
              <w:spacing w:after="0"/>
              <w:rPr>
                <w:sz w:val="14"/>
                <w:szCs w:val="14"/>
                <w:color w:val="auto"/>
              </w:rPr>
            </w:pPr>
          </w:p>
        </w:tc>
        <w:tc>
          <w:tcPr>
            <w:tcW w:w="160" w:type="dxa"/>
            <w:vAlign w:val="bottom"/>
            <w:tcBorders>
              <w:top w:val="single" w:sz="8" w:color="231F20"/>
              <w:bottom w:val="single" w:sz="8" w:color="231F20"/>
            </w:tcBorders>
          </w:tcPr>
          <w:p>
            <w:pPr>
              <w:spacing w:after="0"/>
              <w:rPr>
                <w:sz w:val="14"/>
                <w:szCs w:val="14"/>
                <w:color w:val="auto"/>
              </w:rPr>
            </w:pPr>
          </w:p>
        </w:tc>
        <w:tc>
          <w:tcPr>
            <w:tcW w:w="1000" w:type="dxa"/>
            <w:vAlign w:val="bottom"/>
            <w:tcBorders>
              <w:top w:val="single" w:sz="8" w:color="231F20"/>
              <w:bottom w:val="single" w:sz="8" w:color="231F20"/>
            </w:tcBorders>
          </w:tcPr>
          <w:p>
            <w:pPr>
              <w:jc w:val="right"/>
              <w:spacing w:after="0" w:line="161" w:lineRule="exact"/>
              <w:rPr>
                <w:sz w:val="20"/>
                <w:szCs w:val="20"/>
                <w:color w:val="auto"/>
              </w:rPr>
            </w:pPr>
            <w:r>
              <w:rPr>
                <w:rFonts w:ascii="Times New Roman" w:cs="Times New Roman" w:eastAsia="Times New Roman" w:hAnsi="Times New Roman"/>
                <w:sz w:val="15"/>
                <w:szCs w:val="15"/>
                <w:color w:val="231F20"/>
              </w:rPr>
              <w:t>(85,352)</w:t>
            </w:r>
          </w:p>
        </w:tc>
        <w:tc>
          <w:tcPr>
            <w:tcW w:w="60" w:type="dxa"/>
            <w:vAlign w:val="bottom"/>
            <w:tcBorders>
              <w:top w:val="single" w:sz="8" w:color="EAEBEC"/>
              <w:bottom w:val="single" w:sz="8" w:color="EAEBEC"/>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120" w:type="dxa"/>
            <w:vAlign w:val="bottom"/>
            <w:shd w:val="clear" w:color="auto" w:fill="EAEBEC"/>
          </w:tcPr>
          <w:p>
            <w:pPr>
              <w:spacing w:after="0"/>
              <w:rPr>
                <w:sz w:val="20"/>
                <w:szCs w:val="20"/>
                <w:color w:val="auto"/>
              </w:rPr>
            </w:pPr>
            <w:r>
              <w:rPr>
                <w:rFonts w:ascii="Times New Roman" w:cs="Times New Roman" w:eastAsia="Times New Roman" w:hAnsi="Times New Roman"/>
                <w:sz w:val="15"/>
                <w:szCs w:val="15"/>
                <w:color w:val="231F20"/>
              </w:rPr>
              <w:t>Net increase (decrease) in cash, cash equivalents and restricted cash</w:t>
            </w:r>
          </w:p>
        </w:tc>
        <w:tc>
          <w:tcPr>
            <w:tcW w:w="280" w:type="dxa"/>
            <w:vAlign w:val="bottom"/>
            <w:shd w:val="clear" w:color="auto" w:fill="EAEBEC"/>
          </w:tcPr>
          <w:p>
            <w:pPr>
              <w:spacing w:after="0"/>
              <w:rPr>
                <w:sz w:val="15"/>
                <w:szCs w:val="15"/>
                <w:color w:val="auto"/>
              </w:rPr>
            </w:pPr>
          </w:p>
        </w:tc>
        <w:tc>
          <w:tcPr>
            <w:tcW w:w="160" w:type="dxa"/>
            <w:vAlign w:val="bottom"/>
            <w:shd w:val="clear" w:color="auto" w:fill="EAEBEC"/>
          </w:tcPr>
          <w:p>
            <w:pPr>
              <w:spacing w:after="0"/>
              <w:rPr>
                <w:sz w:val="15"/>
                <w:szCs w:val="15"/>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87,747</w:t>
            </w:r>
          </w:p>
        </w:tc>
        <w:tc>
          <w:tcPr>
            <w:tcW w:w="140" w:type="dxa"/>
            <w:vAlign w:val="bottom"/>
            <w:shd w:val="clear" w:color="auto" w:fill="EAEBEC"/>
          </w:tcPr>
          <w:p>
            <w:pPr>
              <w:spacing w:after="0"/>
              <w:rPr>
                <w:sz w:val="15"/>
                <w:szCs w:val="15"/>
                <w:color w:val="auto"/>
              </w:rPr>
            </w:pPr>
          </w:p>
        </w:tc>
        <w:tc>
          <w:tcPr>
            <w:tcW w:w="80" w:type="dxa"/>
            <w:vAlign w:val="bottom"/>
            <w:shd w:val="clear" w:color="auto" w:fill="EAEBEC"/>
          </w:tcPr>
          <w:p>
            <w:pPr>
              <w:spacing w:after="0"/>
              <w:rPr>
                <w:sz w:val="15"/>
                <w:szCs w:val="15"/>
                <w:color w:val="auto"/>
              </w:rPr>
            </w:pPr>
          </w:p>
        </w:tc>
        <w:tc>
          <w:tcPr>
            <w:tcW w:w="140" w:type="dxa"/>
            <w:vAlign w:val="bottom"/>
            <w:shd w:val="clear" w:color="auto" w:fill="EAEBEC"/>
          </w:tcPr>
          <w:p>
            <w:pPr>
              <w:spacing w:after="0"/>
              <w:rPr>
                <w:sz w:val="15"/>
                <w:szCs w:val="15"/>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45,016</w:t>
            </w:r>
          </w:p>
        </w:tc>
        <w:tc>
          <w:tcPr>
            <w:tcW w:w="140" w:type="dxa"/>
            <w:vAlign w:val="bottom"/>
            <w:shd w:val="clear" w:color="auto" w:fill="EAEBEC"/>
          </w:tcPr>
          <w:p>
            <w:pPr>
              <w:spacing w:after="0"/>
              <w:rPr>
                <w:sz w:val="15"/>
                <w:szCs w:val="15"/>
                <w:color w:val="auto"/>
              </w:rPr>
            </w:pPr>
          </w:p>
        </w:tc>
        <w:tc>
          <w:tcPr>
            <w:tcW w:w="80" w:type="dxa"/>
            <w:vAlign w:val="bottom"/>
            <w:shd w:val="clear" w:color="auto" w:fill="EAEBEC"/>
          </w:tcPr>
          <w:p>
            <w:pPr>
              <w:spacing w:after="0"/>
              <w:rPr>
                <w:sz w:val="15"/>
                <w:szCs w:val="15"/>
                <w:color w:val="auto"/>
              </w:rPr>
            </w:pPr>
          </w:p>
        </w:tc>
        <w:tc>
          <w:tcPr>
            <w:tcW w:w="160" w:type="dxa"/>
            <w:vAlign w:val="bottom"/>
            <w:shd w:val="clear" w:color="auto" w:fill="EAEBEC"/>
          </w:tcPr>
          <w:p>
            <w:pPr>
              <w:spacing w:after="0"/>
              <w:rPr>
                <w:sz w:val="15"/>
                <w:szCs w:val="15"/>
                <w:color w:val="auto"/>
              </w:rPr>
            </w:pP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(77,078</w:t>
            </w:r>
          </w:p>
        </w:tc>
        <w:tc>
          <w:tcPr>
            <w:tcW w:w="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8"/>
                <w:szCs w:val="8"/>
                <w:color w:val="231F20"/>
                <w:w w:val="73"/>
                <w:shd w:val="clear" w:color="auto" w:fill="EAEBEC"/>
              </w:rPr>
              <w:t>)</w:t>
            </w:r>
          </w:p>
        </w:tc>
        <w:tc>
          <w:tcPr>
            <w:tcW w:w="0" w:type="dxa"/>
            <w:vAlign w:val="bottom"/>
          </w:tcPr>
          <w:p>
            <w:pPr>
              <w:spacing w:after="0"/>
              <w:rPr>
                <w:sz w:val="1"/>
                <w:szCs w:val="1"/>
                <w:color w:val="auto"/>
              </w:rPr>
            </w:pPr>
          </w:p>
        </w:tc>
      </w:tr>
      <w:tr>
        <w:trPr>
          <w:trHeight w:val="186"/>
        </w:trPr>
        <w:tc>
          <w:tcPr>
            <w:tcW w:w="512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15"/>
                <w:szCs w:val="15"/>
                <w:color w:val="231F20"/>
              </w:rPr>
              <w:t>Cash, cash equivalents and restricted cash at beginning of year</w:t>
            </w:r>
          </w:p>
        </w:tc>
        <w:tc>
          <w:tcPr>
            <w:tcW w:w="280" w:type="dxa"/>
            <w:vAlign w:val="bottom"/>
            <w:tcBorders>
              <w:bottom w:val="single" w:sz="8" w:color="EAEBEC"/>
            </w:tcBorders>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181,665</w:t>
            </w:r>
          </w:p>
        </w:tc>
        <w:tc>
          <w:tcPr>
            <w:tcW w:w="140" w:type="dxa"/>
            <w:vAlign w:val="bottom"/>
            <w:tcBorders>
              <w:bottom w:val="single" w:sz="8" w:color="EAEBEC"/>
            </w:tcBorders>
          </w:tcPr>
          <w:p>
            <w:pPr>
              <w:spacing w:after="0"/>
              <w:rPr>
                <w:sz w:val="16"/>
                <w:szCs w:val="16"/>
                <w:color w:val="auto"/>
              </w:rPr>
            </w:pPr>
          </w:p>
        </w:tc>
        <w:tc>
          <w:tcPr>
            <w:tcW w:w="80" w:type="dxa"/>
            <w:vAlign w:val="bottom"/>
            <w:tcBorders>
              <w:bottom w:val="single" w:sz="8" w:color="EAEBEC"/>
            </w:tcBorders>
          </w:tcPr>
          <w:p>
            <w:pPr>
              <w:spacing w:after="0"/>
              <w:rPr>
                <w:sz w:val="16"/>
                <w:szCs w:val="16"/>
                <w:color w:val="auto"/>
              </w:rPr>
            </w:pPr>
          </w:p>
        </w:tc>
        <w:tc>
          <w:tcPr>
            <w:tcW w:w="14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136,649</w:t>
            </w:r>
          </w:p>
        </w:tc>
        <w:tc>
          <w:tcPr>
            <w:tcW w:w="140" w:type="dxa"/>
            <w:vAlign w:val="bottom"/>
            <w:tcBorders>
              <w:bottom w:val="single" w:sz="8" w:color="EAEBEC"/>
            </w:tcBorders>
          </w:tcPr>
          <w:p>
            <w:pPr>
              <w:spacing w:after="0"/>
              <w:rPr>
                <w:sz w:val="16"/>
                <w:szCs w:val="16"/>
                <w:color w:val="auto"/>
              </w:rPr>
            </w:pPr>
          </w:p>
        </w:tc>
        <w:tc>
          <w:tcPr>
            <w:tcW w:w="80" w:type="dxa"/>
            <w:vAlign w:val="bottom"/>
            <w:tcBorders>
              <w:bottom w:val="single" w:sz="8" w:color="EAEBEC"/>
            </w:tcBorders>
          </w:tcPr>
          <w:p>
            <w:pPr>
              <w:spacing w:after="0"/>
              <w:rPr>
                <w:sz w:val="16"/>
                <w:szCs w:val="16"/>
                <w:color w:val="auto"/>
              </w:rPr>
            </w:pPr>
          </w:p>
        </w:tc>
        <w:tc>
          <w:tcPr>
            <w:tcW w:w="16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5"/>
                <w:szCs w:val="15"/>
                <w:color w:val="231F20"/>
              </w:rPr>
              <w:t>213,727</w:t>
            </w:r>
          </w:p>
        </w:tc>
        <w:tc>
          <w:tcPr>
            <w:tcW w:w="60" w:type="dxa"/>
            <w:vAlign w:val="bottom"/>
            <w:tcBorders>
              <w:bottom w:val="single" w:sz="8" w:color="EAEBEC"/>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12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15"/>
                <w:szCs w:val="15"/>
                <w:color w:val="231F20"/>
              </w:rPr>
              <w:t>Cash, cash equivalents and restricted cash at end of year</w:t>
            </w:r>
          </w:p>
        </w:tc>
        <w:tc>
          <w:tcPr>
            <w:tcW w:w="280" w:type="dxa"/>
            <w:vAlign w:val="bottom"/>
            <w:tcBorders>
              <w:bottom w:val="single" w:sz="8" w:color="EAEBEC"/>
            </w:tcBorders>
            <w:shd w:val="clear" w:color="auto" w:fill="EAEBEC"/>
          </w:tcPr>
          <w:p>
            <w:pPr>
              <w:spacing w:after="0"/>
              <w:rPr>
                <w:sz w:val="17"/>
                <w:szCs w:val="17"/>
                <w:color w:val="auto"/>
              </w:rPr>
            </w:pPr>
          </w:p>
        </w:tc>
        <w:tc>
          <w:tcPr>
            <w:tcW w:w="160" w:type="dxa"/>
            <w:vAlign w:val="bottom"/>
            <w:tcBorders>
              <w:bottom w:val="single" w:sz="8" w:color="231F20"/>
            </w:tcBorders>
            <w:shd w:val="clear" w:color="auto" w:fill="EAEBEC"/>
          </w:tcPr>
          <w:p>
            <w:pPr>
              <w:jc w:val="right"/>
              <w:ind w:right="5"/>
              <w:spacing w:after="0"/>
              <w:rPr>
                <w:sz w:val="20"/>
                <w:szCs w:val="20"/>
                <w:color w:val="auto"/>
              </w:rPr>
            </w:pPr>
            <w:r>
              <w:rPr>
                <w:rFonts w:ascii="Times New Roman" w:cs="Times New Roman" w:eastAsia="Times New Roman" w:hAnsi="Times New Roman"/>
                <w:sz w:val="15"/>
                <w:szCs w:val="15"/>
                <w:color w:val="231F20"/>
                <w:w w:val="79"/>
              </w:rPr>
              <w:t>$</w:t>
            </w:r>
          </w:p>
        </w:tc>
        <w:tc>
          <w:tcPr>
            <w:tcW w:w="100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269,412</w:t>
            </w:r>
          </w:p>
        </w:tc>
        <w:tc>
          <w:tcPr>
            <w:tcW w:w="140" w:type="dxa"/>
            <w:vAlign w:val="bottom"/>
            <w:tcBorders>
              <w:bottom w:val="single" w:sz="8" w:color="EAEBEC"/>
            </w:tcBorders>
            <w:shd w:val="clear" w:color="auto" w:fill="EAEBEC"/>
          </w:tcPr>
          <w:p>
            <w:pPr>
              <w:spacing w:after="0"/>
              <w:rPr>
                <w:sz w:val="17"/>
                <w:szCs w:val="17"/>
                <w:color w:val="auto"/>
              </w:rPr>
            </w:pPr>
          </w:p>
        </w:tc>
        <w:tc>
          <w:tcPr>
            <w:tcW w:w="80" w:type="dxa"/>
            <w:vAlign w:val="bottom"/>
            <w:tcBorders>
              <w:bottom w:val="single" w:sz="8" w:color="EAEBEC"/>
            </w:tcBorders>
            <w:shd w:val="clear" w:color="auto" w:fill="EAEBEC"/>
          </w:tcPr>
          <w:p>
            <w:pPr>
              <w:spacing w:after="0"/>
              <w:rPr>
                <w:sz w:val="17"/>
                <w:szCs w:val="17"/>
                <w:color w:val="auto"/>
              </w:rPr>
            </w:pPr>
          </w:p>
        </w:tc>
        <w:tc>
          <w:tcPr>
            <w:tcW w:w="1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w w:val="79"/>
              </w:rPr>
              <w:t>$</w:t>
            </w:r>
          </w:p>
        </w:tc>
        <w:tc>
          <w:tcPr>
            <w:tcW w:w="100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181,665</w:t>
            </w:r>
          </w:p>
        </w:tc>
        <w:tc>
          <w:tcPr>
            <w:tcW w:w="140" w:type="dxa"/>
            <w:vAlign w:val="bottom"/>
            <w:tcBorders>
              <w:bottom w:val="single" w:sz="8" w:color="EAEBEC"/>
            </w:tcBorders>
            <w:shd w:val="clear" w:color="auto" w:fill="EAEBEC"/>
          </w:tcPr>
          <w:p>
            <w:pPr>
              <w:spacing w:after="0"/>
              <w:rPr>
                <w:sz w:val="17"/>
                <w:szCs w:val="17"/>
                <w:color w:val="auto"/>
              </w:rPr>
            </w:pPr>
          </w:p>
        </w:tc>
        <w:tc>
          <w:tcPr>
            <w:tcW w:w="80" w:type="dxa"/>
            <w:vAlign w:val="bottom"/>
            <w:tcBorders>
              <w:bottom w:val="single" w:sz="8" w:color="EAEBEC"/>
            </w:tcBorders>
            <w:shd w:val="clear" w:color="auto" w:fill="EAEBEC"/>
          </w:tcPr>
          <w:p>
            <w:pPr>
              <w:spacing w:after="0"/>
              <w:rPr>
                <w:sz w:val="17"/>
                <w:szCs w:val="17"/>
                <w:color w:val="auto"/>
              </w:rPr>
            </w:pPr>
          </w:p>
        </w:tc>
        <w:tc>
          <w:tcPr>
            <w:tcW w:w="160" w:type="dxa"/>
            <w:vAlign w:val="bottom"/>
            <w:tcBorders>
              <w:bottom w:val="single" w:sz="8" w:color="231F20"/>
            </w:tcBorders>
            <w:shd w:val="clear" w:color="auto" w:fill="EAEBEC"/>
          </w:tcPr>
          <w:p>
            <w:pPr>
              <w:jc w:val="right"/>
              <w:ind w:right="5"/>
              <w:spacing w:after="0"/>
              <w:rPr>
                <w:sz w:val="20"/>
                <w:szCs w:val="20"/>
                <w:color w:val="auto"/>
              </w:rPr>
            </w:pPr>
            <w:r>
              <w:rPr>
                <w:rFonts w:ascii="Times New Roman" w:cs="Times New Roman" w:eastAsia="Times New Roman" w:hAnsi="Times New Roman"/>
                <w:sz w:val="15"/>
                <w:szCs w:val="15"/>
                <w:color w:val="231F20"/>
                <w:w w:val="79"/>
              </w:rPr>
              <w:t>$</w:t>
            </w:r>
          </w:p>
        </w:tc>
        <w:tc>
          <w:tcPr>
            <w:tcW w:w="100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136,649</w:t>
            </w:r>
          </w:p>
        </w:tc>
        <w:tc>
          <w:tcPr>
            <w:tcW w:w="60" w:type="dxa"/>
            <w:vAlign w:val="bottom"/>
            <w:tcBorders>
              <w:bottom w:val="single" w:sz="8" w:color="EAEBEC"/>
            </w:tcBorders>
            <w:shd w:val="clear" w:color="auto" w:fill="EAEBE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5"/>
                <w:szCs w:val="15"/>
                <w:color w:val="231F20"/>
              </w:rPr>
              <w:t>Supplemental cash flow disclosures:</w:t>
            </w:r>
          </w:p>
        </w:tc>
        <w:tc>
          <w:tcPr>
            <w:tcW w:w="2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15"/>
                <w:szCs w:val="15"/>
                <w:color w:val="231F20"/>
              </w:rPr>
              <w:t>Interest paid, net</w:t>
            </w:r>
          </w:p>
        </w:tc>
        <w:tc>
          <w:tcPr>
            <w:tcW w:w="440" w:type="dxa"/>
            <w:vAlign w:val="bottom"/>
            <w:gridSpan w:val="2"/>
            <w:shd w:val="clear" w:color="auto" w:fill="EAEBEC"/>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124,669</w:t>
            </w:r>
          </w:p>
        </w:tc>
        <w:tc>
          <w:tcPr>
            <w:tcW w:w="140" w:type="dxa"/>
            <w:vAlign w:val="bottom"/>
            <w:shd w:val="clear" w:color="auto" w:fill="EAEBEC"/>
          </w:tcPr>
          <w:p>
            <w:pPr>
              <w:spacing w:after="0"/>
              <w:rPr>
                <w:sz w:val="16"/>
                <w:szCs w:val="16"/>
                <w:color w:val="auto"/>
              </w:rPr>
            </w:pPr>
          </w:p>
        </w:tc>
        <w:tc>
          <w:tcPr>
            <w:tcW w:w="22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138,618</w:t>
            </w:r>
          </w:p>
        </w:tc>
        <w:tc>
          <w:tcPr>
            <w:tcW w:w="140" w:type="dxa"/>
            <w:vAlign w:val="bottom"/>
            <w:shd w:val="clear" w:color="auto" w:fill="EAEBEC"/>
          </w:tcPr>
          <w:p>
            <w:pPr>
              <w:spacing w:after="0"/>
              <w:rPr>
                <w:sz w:val="16"/>
                <w:szCs w:val="16"/>
                <w:color w:val="auto"/>
              </w:rPr>
            </w:pPr>
          </w:p>
        </w:tc>
        <w:tc>
          <w:tcPr>
            <w:tcW w:w="240" w:type="dxa"/>
            <w:vAlign w:val="bottom"/>
            <w:gridSpan w:val="2"/>
            <w:shd w:val="clear" w:color="auto" w:fill="EAEBEC"/>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10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5"/>
                <w:szCs w:val="15"/>
                <w:color w:val="231F20"/>
              </w:rPr>
              <w:t>142,114</w:t>
            </w: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Capitalized interest</w:t>
            </w:r>
          </w:p>
        </w:tc>
        <w:tc>
          <w:tcPr>
            <w:tcW w:w="4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844</w:t>
            </w:r>
          </w:p>
        </w:tc>
        <w:tc>
          <w:tcPr>
            <w:tcW w:w="14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729</w:t>
            </w:r>
          </w:p>
        </w:tc>
        <w:tc>
          <w:tcPr>
            <w:tcW w:w="140" w:type="dxa"/>
            <w:vAlign w:val="bottom"/>
          </w:tcPr>
          <w:p>
            <w:pPr>
              <w:spacing w:after="0"/>
              <w:rPr>
                <w:sz w:val="16"/>
                <w:szCs w:val="16"/>
                <w:color w:val="auto"/>
              </w:rPr>
            </w:pPr>
          </w:p>
        </w:tc>
        <w:tc>
          <w:tcPr>
            <w:tcW w:w="2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1,260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20" w:type="dxa"/>
            <w:vAlign w:val="bottom"/>
            <w:shd w:val="clear" w:color="auto" w:fill="EAEBEC"/>
          </w:tcPr>
          <w:p>
            <w:pPr>
              <w:spacing w:after="0"/>
              <w:rPr>
                <w:sz w:val="20"/>
                <w:szCs w:val="20"/>
                <w:color w:val="auto"/>
              </w:rPr>
            </w:pPr>
            <w:r>
              <w:rPr>
                <w:rFonts w:ascii="Times New Roman" w:cs="Times New Roman" w:eastAsia="Times New Roman" w:hAnsi="Times New Roman"/>
                <w:sz w:val="15"/>
                <w:szCs w:val="15"/>
                <w:color w:val="231F20"/>
              </w:rPr>
              <w:t>Supplemental non-cash investing and financing activities disclosures:</w:t>
            </w:r>
          </w:p>
        </w:tc>
        <w:tc>
          <w:tcPr>
            <w:tcW w:w="2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1000" w:type="dxa"/>
            <w:vAlign w:val="bottom"/>
            <w:shd w:val="clear" w:color="auto" w:fill="EAEBEC"/>
          </w:tcPr>
          <w:p>
            <w:pPr>
              <w:spacing w:after="0"/>
              <w:rPr>
                <w:sz w:val="16"/>
                <w:szCs w:val="16"/>
                <w:color w:val="auto"/>
              </w:rPr>
            </w:pPr>
          </w:p>
        </w:tc>
        <w:tc>
          <w:tcPr>
            <w:tcW w:w="140" w:type="dxa"/>
            <w:vAlign w:val="bottom"/>
            <w:shd w:val="clear" w:color="auto" w:fill="EAEBEC"/>
          </w:tcPr>
          <w:p>
            <w:pPr>
              <w:spacing w:after="0"/>
              <w:rPr>
                <w:sz w:val="16"/>
                <w:szCs w:val="16"/>
                <w:color w:val="auto"/>
              </w:rPr>
            </w:pPr>
          </w:p>
        </w:tc>
        <w:tc>
          <w:tcPr>
            <w:tcW w:w="80" w:type="dxa"/>
            <w:vAlign w:val="bottom"/>
            <w:shd w:val="clear" w:color="auto" w:fill="EAEBEC"/>
          </w:tcPr>
          <w:p>
            <w:pPr>
              <w:spacing w:after="0"/>
              <w:rPr>
                <w:sz w:val="16"/>
                <w:szCs w:val="16"/>
                <w:color w:val="auto"/>
              </w:rPr>
            </w:pPr>
          </w:p>
        </w:tc>
        <w:tc>
          <w:tcPr>
            <w:tcW w:w="160" w:type="dxa"/>
            <w:vAlign w:val="bottom"/>
            <w:shd w:val="clear" w:color="auto" w:fill="EAEBEC"/>
          </w:tcPr>
          <w:p>
            <w:pPr>
              <w:spacing w:after="0"/>
              <w:rPr>
                <w:sz w:val="16"/>
                <w:szCs w:val="16"/>
                <w:color w:val="auto"/>
              </w:rPr>
            </w:pPr>
          </w:p>
        </w:tc>
        <w:tc>
          <w:tcPr>
            <w:tcW w:w="1000" w:type="dxa"/>
            <w:vAlign w:val="bottom"/>
            <w:shd w:val="clear" w:color="auto" w:fill="EAEBEC"/>
          </w:tcPr>
          <w:p>
            <w:pPr>
              <w:spacing w:after="0"/>
              <w:rPr>
                <w:sz w:val="16"/>
                <w:szCs w:val="16"/>
                <w:color w:val="auto"/>
              </w:rPr>
            </w:pPr>
          </w:p>
        </w:tc>
        <w:tc>
          <w:tcPr>
            <w:tcW w:w="60" w:type="dxa"/>
            <w:vAlign w:val="bottom"/>
            <w:shd w:val="clear" w:color="auto" w:fill="EAEBE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231F20"/>
              </w:rPr>
              <w:t>Accounts payable and accrued expenses for capital expenditures</w:t>
            </w:r>
          </w:p>
        </w:tc>
        <w:tc>
          <w:tcPr>
            <w:tcW w:w="4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15,714</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13,005</w:t>
            </w:r>
          </w:p>
        </w:tc>
        <w:tc>
          <w:tcPr>
            <w:tcW w:w="140" w:type="dxa"/>
            <w:vAlign w:val="bottom"/>
          </w:tcPr>
          <w:p>
            <w:pPr>
              <w:spacing w:after="0"/>
              <w:rPr>
                <w:sz w:val="17"/>
                <w:szCs w:val="17"/>
                <w:color w:val="auto"/>
              </w:rPr>
            </w:pPr>
          </w:p>
        </w:tc>
        <w:tc>
          <w:tcPr>
            <w:tcW w:w="24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231F2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231F20"/>
              </w:rPr>
              <w:t>18,888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3414395</wp:posOffset>
            </wp:positionH>
            <wp:positionV relativeFrom="paragraph">
              <wp:posOffset>-6362700</wp:posOffset>
            </wp:positionV>
            <wp:extent cx="250761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1">
                      <a:extLst>
                        <a:ext uri="{28A0092B-C50C-407E-A947-70E740481C1C}"/>
                      </a:extLst>
                    </a:blip>
                    <a:srcRect/>
                    <a:stretch>
                      <a:fillRect/>
                    </a:stretch>
                  </pic:blipFill>
                  <pic:spPr bwMode="auto">
                    <a:xfrm>
                      <a:off x="0" y="0"/>
                      <a:ext cx="2507615" cy="38100"/>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See accompanying notes to consolidated financial statements.</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9360"/>
          </w:cols>
          <w:pgMar w:left="1260" w:top="1236" w:right="1260" w:bottom="0" w:gutter="0" w:footer="0" w:header="0"/>
          <w:type w:val="continuous"/>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PETCO HEALTH AND WELLNESS COMPANY, INC.</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NOTES TO CONSOLIDATED FINANCIAL STATEMENTS</w:t>
      </w:r>
    </w:p>
    <w:p>
      <w:pPr>
        <w:spacing w:after="0" w:line="240" w:lineRule="exact"/>
        <w:rPr>
          <w:sz w:val="20"/>
          <w:szCs w:val="20"/>
          <w:color w:val="auto"/>
        </w:rPr>
      </w:pPr>
    </w:p>
    <w:p>
      <w:pPr>
        <w:ind w:right="5220"/>
        <w:spacing w:after="0" w:line="441" w:lineRule="auto"/>
        <w:tabs>
          <w:tab w:leader="none" w:pos="200" w:val="left"/>
        </w:tabs>
        <w:numPr>
          <w:ilvl w:val="0"/>
          <w:numId w:val="30"/>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 xml:space="preserve">Summary of Significant Accounting Policies </w:t>
      </w:r>
      <w:r>
        <w:rPr>
          <w:rFonts w:ascii="Times New Roman" w:cs="Times New Roman" w:eastAsia="Times New Roman" w:hAnsi="Times New Roman"/>
          <w:sz w:val="19"/>
          <w:szCs w:val="19"/>
          <w:b w:val="1"/>
          <w:bCs w:val="1"/>
          <w:i w:val="1"/>
          <w:iCs w:val="1"/>
          <w:color w:val="231F20"/>
        </w:rPr>
        <w:t>Description of Business and Basis of Presentation</w:t>
      </w:r>
    </w:p>
    <w:p>
      <w:pPr>
        <w:spacing w:after="0" w:line="21"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231F20"/>
        </w:rPr>
        <w:t>Petco Health and Wellness Company, Inc. (together with its consolidated subsidiaries, the “Company”) is a leading pet specialty retailer focused on improving the lives of pets, pet parents, and its own partners with pet care centers in 50 states, the District of Columbia and Puerto Rico. The Company also offers an expanded range of consumables, supplies, and services through its petco.com website and mobile app.</w:t>
      </w:r>
    </w:p>
    <w:p>
      <w:pPr>
        <w:spacing w:after="0" w:line="194"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231F20"/>
        </w:rPr>
        <w:t>The Company was formed as a Delaware limited liability company under the name PET Acquisition LLC on November 19, 2015 as an acquisition entity controlled by Scooby LP, which was indirectly owned by funds affiliated with CVC Capital Partners, Canada Pension Plan Investment Board, a Canadian company (together with CVC Capital Partners, the “Sponsors”), and certain co-investors. On January 26, 2016, the Company completed a merger (the “Acquisition”) whereby Petco Holdings, Inc. converted from a Delaware corporation to a Delaware limited liability company and became a wholly owned subsidiary of the Company. Under this ownership structure, the Company had four classes of membership units: (i) Common Series A Units; (ii) Common Series B Units; (iii) Common Series C Units; and (iv) Voting Common Units.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Common Stock</w:t>
      </w:r>
    </w:p>
    <w:p>
      <w:pPr>
        <w:spacing w:after="0" w:line="240" w:lineRule="exact"/>
        <w:rPr>
          <w:sz w:val="20"/>
          <w:szCs w:val="20"/>
          <w:color w:val="auto"/>
        </w:rPr>
      </w:pPr>
    </w:p>
    <w:p>
      <w:pPr>
        <w:ind w:right="380" w:firstLine="641"/>
        <w:spacing w:after="0" w:line="252" w:lineRule="auto"/>
        <w:rPr>
          <w:sz w:val="20"/>
          <w:szCs w:val="20"/>
          <w:color w:val="auto"/>
        </w:rPr>
      </w:pPr>
      <w:r>
        <w:rPr>
          <w:rFonts w:ascii="Times New Roman" w:cs="Times New Roman" w:eastAsia="Times New Roman" w:hAnsi="Times New Roman"/>
          <w:sz w:val="20"/>
          <w:szCs w:val="20"/>
          <w:color w:val="231F20"/>
        </w:rPr>
        <w:t>In January 2021, all of the Company’s Common Series A Units, Common Series B Units, and Common Series C Units were contributed from Scooby LP to a newly formed and wholly owned subsidiary, Scooby Aggregator, LP. The Company then converted to a Delaware corporation pursuant to a statutory conversion and changed its name to Petco Health and Wellness Company, Inc.</w:t>
      </w:r>
    </w:p>
    <w:p>
      <w:pPr>
        <w:spacing w:after="0" w:line="194" w:lineRule="exact"/>
        <w:rPr>
          <w:sz w:val="20"/>
          <w:szCs w:val="20"/>
          <w:color w:val="auto"/>
        </w:rPr>
      </w:pPr>
    </w:p>
    <w:p>
      <w:pPr>
        <w:jc w:val="both"/>
        <w:ind w:right="620" w:firstLine="641"/>
        <w:spacing w:after="0" w:line="258" w:lineRule="auto"/>
        <w:rPr>
          <w:sz w:val="20"/>
          <w:szCs w:val="20"/>
          <w:color w:val="auto"/>
        </w:rPr>
      </w:pPr>
      <w:r>
        <w:rPr>
          <w:rFonts w:ascii="Times New Roman" w:cs="Times New Roman" w:eastAsia="Times New Roman" w:hAnsi="Times New Roman"/>
          <w:sz w:val="20"/>
          <w:szCs w:val="20"/>
          <w:color w:val="231F20"/>
        </w:rPr>
        <w:t>In connection with the conversion and immediately prior to the Company’s initial public offering, all outstanding membership units were converted into shares of newly-issued Class A common stock, Class B-1 common stock, and Class B-2 common stock.</w:t>
      </w:r>
    </w:p>
    <w:p>
      <w:pPr>
        <w:spacing w:after="0" w:line="18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rights of the holders of Class A common stock and Class B-1 common stock are identical in all respects, except that Class B-1 common stock does not vote on the election or removal of the Company’s directors. The rights of the holders of Class B-2 common stock differ from the rights of the holders of Class A common stock and Class B-1 common stock in that holders of Class B-2 common stock only possess the right to vote on the election or removal of the Company’s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Principles of Consolidation</w:t>
      </w:r>
    </w:p>
    <w:p>
      <w:pPr>
        <w:spacing w:after="0" w:line="24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The accompanying consolidated financial statements include the accounts of Petco Health and Wellness Company, Inc., its wholly owned subsidiaries, and a variable interest entity for which it was the primary beneficiary prior to the transaction described below. All intercompany accounts and transactions have been eliminated in consolidation.</w:t>
      </w:r>
    </w:p>
    <w:p>
      <w:pPr>
        <w:sectPr>
          <w:pgSz w:w="11880" w:h="15480" w:orient="portrait"/>
          <w:cols w:equalWidth="0" w:num="1">
            <w:col w:w="9340"/>
          </w:cols>
          <w:pgMar w:left="1260" w:top="123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9340"/>
          </w:cols>
          <w:pgMar w:left="1260" w:top="1236" w:right="128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i w:val="1"/>
          <w:iCs w:val="1"/>
          <w:color w:val="231F20"/>
        </w:rPr>
        <w:t>Use of Estimates</w:t>
      </w:r>
    </w:p>
    <w:p>
      <w:pPr>
        <w:spacing w:after="0" w:line="24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31F20"/>
        </w:rPr>
        <w:t>The preparation of these consolidated financial statements in conformity with accounting principles generally accepted in the United States of America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Fiscal Year</w:t>
      </w:r>
    </w:p>
    <w:p>
      <w:pPr>
        <w:spacing w:after="0" w:line="240" w:lineRule="exact"/>
        <w:rPr>
          <w:sz w:val="20"/>
          <w:szCs w:val="20"/>
          <w:color w:val="auto"/>
        </w:rPr>
      </w:pPr>
    </w:p>
    <w:p>
      <w:pPr>
        <w:ind w:right="320" w:firstLine="490"/>
        <w:spacing w:after="0" w:line="252" w:lineRule="auto"/>
        <w:rPr>
          <w:sz w:val="20"/>
          <w:szCs w:val="20"/>
          <w:color w:val="auto"/>
        </w:rPr>
      </w:pPr>
      <w:r>
        <w:rPr>
          <w:rFonts w:ascii="Times New Roman" w:cs="Times New Roman" w:eastAsia="Times New Roman" w:hAnsi="Times New Roman"/>
          <w:sz w:val="20"/>
          <w:szCs w:val="20"/>
          <w:color w:val="231F20"/>
        </w:rPr>
        <w:t>The Company’s fiscal year ends on the Saturday closest to January 31, resulting in years of either 52 or 53 weeks. All references to a fiscal year refer to the fiscal year ending on the Saturday closest to January 31 of the following year. For example, references to fiscal 2025 refer to the fiscal year that began on February 2, 2025 and ended on January 31, 2026. Fiscal 2025 and fiscal 2024 included 52 weeks, and fiscal 2023 included 53 weeks.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Segment Reporting</w:t>
      </w:r>
    </w:p>
    <w:p>
      <w:pPr>
        <w:spacing w:after="0" w:line="240" w:lineRule="exact"/>
        <w:rPr>
          <w:sz w:val="20"/>
          <w:szCs w:val="20"/>
          <w:color w:val="auto"/>
        </w:rPr>
      </w:pPr>
    </w:p>
    <w:p>
      <w:pPr>
        <w:ind w:right="240" w:firstLine="490"/>
        <w:spacing w:after="0" w:line="247" w:lineRule="auto"/>
        <w:rPr>
          <w:sz w:val="20"/>
          <w:szCs w:val="20"/>
          <w:color w:val="auto"/>
        </w:rPr>
      </w:pPr>
      <w:r>
        <w:rPr>
          <w:rFonts w:ascii="Times New Roman" w:cs="Times New Roman" w:eastAsia="Times New Roman" w:hAnsi="Times New Roman"/>
          <w:sz w:val="20"/>
          <w:szCs w:val="20"/>
          <w:color w:val="231F20"/>
        </w:rPr>
        <w:t>Operating segments are components of an enterprise about which separate financial information is available and is evaluated regularly by the chief operating decision maker (“CODM”) in deciding how to allocate resources and in assessing performance. Petco derives substantially all of its revenue in North America and manages its business activities on a consolidated basis, resulting in a single operating and reportable segment. The Company operates as an omnichannel retailer designed to sell pet food, supplies and companion animals, and services to pet parents across pet care center and online channels.</w:t>
      </w:r>
    </w:p>
    <w:p>
      <w:pPr>
        <w:spacing w:after="0" w:line="200"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31F20"/>
        </w:rPr>
        <w:t>The Company's CODM is its chief executive officer ("CEO"), who assesses performance and decides how to allocate resources based on consolidated net income (loss) that is reported on the consolidated statement of operations. The CODM uses consolidated net income (loss) in deciding how to reinvest profits into the Company, including to its people, technology, and infrastructure.</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measure of segment assets is reported on the consolidated balance sheet as total assets.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and Cash Equivalents</w:t>
      </w:r>
    </w:p>
    <w:p>
      <w:pPr>
        <w:spacing w:after="0" w:line="24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Cash equivalents represent all liquid investments with original maturities of three months or less and include money market mutual funds. The Company maintains cash and cash equivalent balances with financial institutions that exceed federally insured limits. The Company has not experienced any losses related to these balances. Included in the Company’s cash and cash equivalents are credit and debit card receivables from banks, which typically settle within five business days, of $39.4 million and $39.6 million at January 31, 2026 and February 1, 2025, respectively. The following table provides a reconciliation of cash, cash equivalents and restricted cash reported in the consolidated balance sheets to the total amounts reported in the consolidated statements of cash flows. Restricted cash is held in a trust used for certain employee benefit costs.</w:t>
      </w:r>
    </w:p>
    <w:p>
      <w:pPr>
        <w:spacing w:after="0" w:line="252"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6"/>
                <w:szCs w:val="16"/>
                <w:b w:val="1"/>
                <w:bCs w:val="1"/>
                <w:color w:val="231F20"/>
              </w:rPr>
              <w:t>January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c>
          <w:tcPr>
            <w:tcW w:w="60" w:type="dxa"/>
            <w:vAlign w:val="bottom"/>
          </w:tcPr>
          <w:p>
            <w:pPr>
              <w:spacing w:after="0"/>
              <w:rPr>
                <w:sz w:val="16"/>
                <w:szCs w:val="16"/>
                <w:color w:val="auto"/>
              </w:rPr>
            </w:pPr>
          </w:p>
        </w:tc>
      </w:tr>
      <w:tr>
        <w:trPr>
          <w:trHeight w:val="203"/>
        </w:trPr>
        <w:tc>
          <w:tcPr>
            <w:tcW w:w="5020" w:type="dxa"/>
            <w:vAlign w:val="bottom"/>
            <w:tcBorders>
              <w:bottom w:val="single" w:sz="8" w:color="EAEB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200" w:type="dxa"/>
            <w:vAlign w:val="bottom"/>
            <w:tcBorders>
              <w:bottom w:val="single" w:sz="8" w:color="EAEB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AEBEC"/>
            </w:tcBorders>
          </w:tcPr>
          <w:p>
            <w:pPr>
              <w:spacing w:after="0"/>
              <w:rPr>
                <w:sz w:val="17"/>
                <w:szCs w:val="17"/>
                <w:color w:val="auto"/>
              </w:rPr>
            </w:pPr>
          </w:p>
        </w:tc>
      </w:tr>
      <w:tr>
        <w:trPr>
          <w:trHeight w:val="239"/>
        </w:trPr>
        <w:tc>
          <w:tcPr>
            <w:tcW w:w="50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Cash and cash equivalents</w:t>
            </w: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9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256,736</w:t>
            </w:r>
          </w:p>
        </w:tc>
        <w:tc>
          <w:tcPr>
            <w:tcW w:w="200" w:type="dxa"/>
            <w:vAlign w:val="bottom"/>
            <w:shd w:val="clear" w:color="auto" w:fill="EAEBEC"/>
          </w:tcPr>
          <w:p>
            <w:pPr>
              <w:spacing w:after="0"/>
              <w:rPr>
                <w:sz w:val="20"/>
                <w:szCs w:val="20"/>
                <w:color w:val="auto"/>
              </w:rPr>
            </w:pP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9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165,756</w:t>
            </w:r>
          </w:p>
        </w:tc>
        <w:tc>
          <w:tcPr>
            <w:tcW w:w="60" w:type="dxa"/>
            <w:vAlign w:val="bottom"/>
            <w:shd w:val="clear" w:color="auto" w:fill="EAEBEC"/>
          </w:tcPr>
          <w:p>
            <w:pPr>
              <w:spacing w:after="0"/>
              <w:rPr>
                <w:sz w:val="20"/>
                <w:szCs w:val="20"/>
                <w:color w:val="auto"/>
              </w:rPr>
            </w:pPr>
          </w:p>
        </w:tc>
      </w:tr>
      <w:tr>
        <w:trPr>
          <w:trHeight w:val="244"/>
        </w:trPr>
        <w:tc>
          <w:tcPr>
            <w:tcW w:w="502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Restricted cash included in other current assets</w:t>
            </w:r>
          </w:p>
        </w:tc>
        <w:tc>
          <w:tcPr>
            <w:tcW w:w="12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12,676</w:t>
            </w:r>
          </w:p>
        </w:tc>
        <w:tc>
          <w:tcPr>
            <w:tcW w:w="200" w:type="dxa"/>
            <w:vAlign w:val="bottom"/>
            <w:tcBorders>
              <w:bottom w:val="single" w:sz="8" w:color="EAEBEC"/>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15,909</w:t>
            </w:r>
          </w:p>
        </w:tc>
        <w:tc>
          <w:tcPr>
            <w:tcW w:w="60" w:type="dxa"/>
            <w:vAlign w:val="bottom"/>
            <w:tcBorders>
              <w:bottom w:val="single" w:sz="8" w:color="EAEBEC"/>
            </w:tcBorders>
          </w:tcPr>
          <w:p>
            <w:pPr>
              <w:spacing w:after="0"/>
              <w:rPr>
                <w:sz w:val="21"/>
                <w:szCs w:val="21"/>
                <w:color w:val="auto"/>
              </w:rPr>
            </w:pPr>
          </w:p>
        </w:tc>
      </w:tr>
      <w:tr>
        <w:trPr>
          <w:trHeight w:val="220"/>
        </w:trPr>
        <w:tc>
          <w:tcPr>
            <w:tcW w:w="5020" w:type="dxa"/>
            <w:vAlign w:val="bottom"/>
            <w:shd w:val="clear" w:color="auto" w:fill="EAEBEC"/>
          </w:tcPr>
          <w:p>
            <w:pPr>
              <w:spacing w:after="0" w:line="220" w:lineRule="exact"/>
              <w:rPr>
                <w:sz w:val="20"/>
                <w:szCs w:val="20"/>
                <w:color w:val="auto"/>
              </w:rPr>
            </w:pPr>
            <w:r>
              <w:rPr>
                <w:rFonts w:ascii="Times New Roman" w:cs="Times New Roman" w:eastAsia="Times New Roman" w:hAnsi="Times New Roman"/>
                <w:sz w:val="20"/>
                <w:szCs w:val="20"/>
                <w:color w:val="231F20"/>
              </w:rPr>
              <w:t>Total cash, cash equivalents and restricted cash in</w:t>
            </w:r>
          </w:p>
        </w:tc>
        <w:tc>
          <w:tcPr>
            <w:tcW w:w="120" w:type="dxa"/>
            <w:vAlign w:val="bottom"/>
            <w:shd w:val="clear" w:color="auto" w:fill="EAEBEC"/>
          </w:tcPr>
          <w:p>
            <w:pPr>
              <w:spacing w:after="0"/>
              <w:rPr>
                <w:sz w:val="19"/>
                <w:szCs w:val="19"/>
                <w:color w:val="auto"/>
              </w:rPr>
            </w:pPr>
          </w:p>
        </w:tc>
        <w:tc>
          <w:tcPr>
            <w:tcW w:w="980" w:type="dxa"/>
            <w:vAlign w:val="bottom"/>
            <w:shd w:val="clear" w:color="auto" w:fill="EAEBEC"/>
          </w:tcPr>
          <w:p>
            <w:pPr>
              <w:spacing w:after="0"/>
              <w:rPr>
                <w:sz w:val="19"/>
                <w:szCs w:val="19"/>
                <w:color w:val="auto"/>
              </w:rPr>
            </w:pPr>
          </w:p>
        </w:tc>
        <w:tc>
          <w:tcPr>
            <w:tcW w:w="200" w:type="dxa"/>
            <w:vAlign w:val="bottom"/>
            <w:shd w:val="clear" w:color="auto" w:fill="EAEBEC"/>
          </w:tcPr>
          <w:p>
            <w:pPr>
              <w:spacing w:after="0"/>
              <w:rPr>
                <w:sz w:val="19"/>
                <w:szCs w:val="19"/>
                <w:color w:val="auto"/>
              </w:rPr>
            </w:pPr>
          </w:p>
        </w:tc>
        <w:tc>
          <w:tcPr>
            <w:tcW w:w="120" w:type="dxa"/>
            <w:vAlign w:val="bottom"/>
            <w:shd w:val="clear" w:color="auto" w:fill="EAEBEC"/>
          </w:tcPr>
          <w:p>
            <w:pPr>
              <w:spacing w:after="0"/>
              <w:rPr>
                <w:sz w:val="19"/>
                <w:szCs w:val="19"/>
                <w:color w:val="auto"/>
              </w:rPr>
            </w:pPr>
          </w:p>
        </w:tc>
        <w:tc>
          <w:tcPr>
            <w:tcW w:w="980" w:type="dxa"/>
            <w:vAlign w:val="bottom"/>
            <w:shd w:val="clear" w:color="auto" w:fill="EAEBEC"/>
          </w:tcPr>
          <w:p>
            <w:pPr>
              <w:spacing w:after="0"/>
              <w:rPr>
                <w:sz w:val="19"/>
                <w:szCs w:val="19"/>
                <w:color w:val="auto"/>
              </w:rPr>
            </w:pPr>
          </w:p>
        </w:tc>
        <w:tc>
          <w:tcPr>
            <w:tcW w:w="60" w:type="dxa"/>
            <w:vAlign w:val="bottom"/>
            <w:shd w:val="clear" w:color="auto" w:fill="EAEBEC"/>
          </w:tcPr>
          <w:p>
            <w:pPr>
              <w:spacing w:after="0"/>
              <w:rPr>
                <w:sz w:val="19"/>
                <w:szCs w:val="19"/>
                <w:color w:val="auto"/>
              </w:rPr>
            </w:pPr>
          </w:p>
        </w:tc>
      </w:tr>
      <w:tr>
        <w:trPr>
          <w:trHeight w:val="249"/>
        </w:trPr>
        <w:tc>
          <w:tcPr>
            <w:tcW w:w="5020" w:type="dxa"/>
            <w:vAlign w:val="bottom"/>
            <w:shd w:val="clear" w:color="auto" w:fill="EAEBEC"/>
          </w:tcPr>
          <w:p>
            <w:pPr>
              <w:ind w:left="140"/>
              <w:spacing w:after="0"/>
              <w:rPr>
                <w:sz w:val="20"/>
                <w:szCs w:val="20"/>
                <w:color w:val="auto"/>
              </w:rPr>
            </w:pPr>
            <w:r>
              <w:rPr>
                <w:rFonts w:ascii="Times New Roman" w:cs="Times New Roman" w:eastAsia="Times New Roman" w:hAnsi="Times New Roman"/>
                <w:sz w:val="20"/>
                <w:szCs w:val="20"/>
                <w:color w:val="231F20"/>
              </w:rPr>
              <w:t>the statement of cash flows</w:t>
            </w:r>
          </w:p>
        </w:tc>
        <w:tc>
          <w:tcPr>
            <w:tcW w:w="1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269,412</w:t>
            </w:r>
          </w:p>
        </w:tc>
        <w:tc>
          <w:tcPr>
            <w:tcW w:w="200" w:type="dxa"/>
            <w:vAlign w:val="bottom"/>
            <w:shd w:val="clear" w:color="auto" w:fill="EAEBEC"/>
          </w:tcPr>
          <w:p>
            <w:pPr>
              <w:spacing w:after="0"/>
              <w:rPr>
                <w:sz w:val="21"/>
                <w:szCs w:val="21"/>
                <w:color w:val="auto"/>
              </w:rPr>
            </w:pPr>
          </w:p>
        </w:tc>
        <w:tc>
          <w:tcPr>
            <w:tcW w:w="1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181,665</w:t>
            </w:r>
          </w:p>
        </w:tc>
        <w:tc>
          <w:tcPr>
            <w:tcW w:w="60" w:type="dxa"/>
            <w:vAlign w:val="bottom"/>
            <w:shd w:val="clear" w:color="auto" w:fill="EAEBEC"/>
          </w:tcPr>
          <w:p>
            <w:pPr>
              <w:spacing w:after="0"/>
              <w:rPr>
                <w:sz w:val="21"/>
                <w:szCs w:val="21"/>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31F20"/>
        </w:rPr>
        <w:t>Outstanding checks in excess of funds on deposit (book overdrafts) totaled $20.7 million and $23.2 million at January 31, 2026 and February 1, 2025, respectively, and are reflected in accounts payable and book overdrafts in the consolidated balance sheets.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9360"/>
          </w:cols>
          <w:pgMar w:left="1260" w:top="1240" w:right="126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i w:val="1"/>
          <w:iCs w:val="1"/>
          <w:color w:val="231F20"/>
        </w:rPr>
        <w:t>Vendor Rebates and Allowances</w:t>
      </w:r>
    </w:p>
    <w:p>
      <w:pPr>
        <w:spacing w:after="0" w:line="24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Most of the Company’s receivables are due from vendors. Receivables are stated net of an allowance for estimated credit losses, which is determined by continually evaluating individual receivables, the vendor’s financial condition and current and expected economic conditions. The additions and deductions to the allowance for estimated credit losses were not material for all periods presented.</w:t>
      </w:r>
    </w:p>
    <w:p>
      <w:pPr>
        <w:spacing w:after="0" w:line="194" w:lineRule="exact"/>
        <w:rPr>
          <w:sz w:val="20"/>
          <w:szCs w:val="20"/>
          <w:color w:val="auto"/>
        </w:rPr>
      </w:pPr>
    </w:p>
    <w:p>
      <w:pPr>
        <w:jc w:val="both"/>
        <w:ind w:right="140" w:firstLine="490"/>
        <w:spacing w:after="0" w:line="247" w:lineRule="auto"/>
        <w:rPr>
          <w:sz w:val="20"/>
          <w:szCs w:val="20"/>
          <w:color w:val="auto"/>
        </w:rPr>
      </w:pPr>
      <w:r>
        <w:rPr>
          <w:rFonts w:ascii="Times New Roman" w:cs="Times New Roman" w:eastAsia="Times New Roman" w:hAnsi="Times New Roman"/>
          <w:sz w:val="20"/>
          <w:szCs w:val="20"/>
          <w:color w:val="231F20"/>
        </w:rPr>
        <w:t>The Company receives vendor allowances, primarily in the form of cooperative advertising reimbursements, rebate incentives, prompt purchase discounts, and vendor compliance charges pursuant to agreements with certain vendors. Substantially all vendor allowances are initially deferred as a reduction of the cost of inventory purchased and recorded as a reduction to cost of sales in the consolidated statements of operations as the inventory is sold.</w:t>
      </w:r>
    </w:p>
    <w:p>
      <w:pPr>
        <w:spacing w:after="0" w:line="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231F20"/>
        </w:rPr>
        <w:t>Vendor rebates and allowances that are identified as specific, incremental and identifiable costs incurred by the Company in selling the vendors’ products are classified as a reduction of selling, general and administrative expenses in the consolidated statements of operations as the costs are incurred, as the related costs are also classified as selling, general and administrative expenses.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Merchandise Inventories</w:t>
      </w:r>
    </w:p>
    <w:p>
      <w:pPr>
        <w:spacing w:after="0" w:line="24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Merchandise inventories represent finished goods and are stated at the lower of cost or net realizable value. Cost is determined by the average-cost method and includes inbound freight charges. Physical inventories are performed on a regular basis at pet care center locations and cycle counts are performed for inventory at distribution centers. During the period between counts at pet care center locations, the Company accrues for estimated losses related to inventory shrinkage based on historical inventory shrinkage results and current trends in the business. Inventory shrinkage may occur due to theft, loss, or the deterioration of goods, among other reasons. The Company assesses its inventory for estimated obsolescence or unmarketable inventory and writes down the difference between the cost of inventory and the estimated market value based upon historical mark-downs, supply on-hand and assumptions about future sales.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Fixed Assets</w:t>
      </w:r>
    </w:p>
    <w:p>
      <w:pPr>
        <w:spacing w:after="0" w:line="240"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231F20"/>
        </w:rPr>
        <w:t>Fixed assets are stated at cost or fair value as of the date of the Acquisition less accumulated depreciation and amortization. Pet care center facilities and equipment under finance leases are recorded at the present value of lease payments at the inception of the lease. Maintenance and minor repairs are expensed as incurred.</w:t>
      </w:r>
    </w:p>
    <w:p>
      <w:pPr>
        <w:spacing w:after="0" w:line="188" w:lineRule="exact"/>
        <w:rPr>
          <w:sz w:val="20"/>
          <w:szCs w:val="20"/>
          <w:color w:val="auto"/>
        </w:rPr>
      </w:pPr>
    </w:p>
    <w:p>
      <w:pPr>
        <w:jc w:val="both"/>
        <w:ind w:right="100" w:firstLine="490"/>
        <w:spacing w:after="0" w:line="249" w:lineRule="auto"/>
        <w:rPr>
          <w:sz w:val="20"/>
          <w:szCs w:val="20"/>
          <w:color w:val="auto"/>
        </w:rPr>
      </w:pPr>
      <w:r>
        <w:rPr>
          <w:rFonts w:ascii="Times New Roman" w:cs="Times New Roman" w:eastAsia="Times New Roman" w:hAnsi="Times New Roman"/>
          <w:sz w:val="20"/>
          <w:szCs w:val="20"/>
          <w:color w:val="231F20"/>
        </w:rPr>
        <w:t>Buildings, equipment, furniture and fixtures are depreciated using the straight-line method over the estimated useful life of the asset. Leasehold and building improvements are amortized using the straight-line method over the term of the lease or the estimated useful life of the improvement, whichever is shorter. Land is not depreciated.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Amortization of fixed assets financed through finance leases is included in depreciation and amortization expense.</w:t>
      </w:r>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Company’s fixed assets are generally depreciated or amortized using the following estimated useful lives:</w:t>
      </w:r>
    </w:p>
    <w:p>
      <w:pPr>
        <w:spacing w:after="0" w:line="296"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36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Buildings</w:t>
            </w:r>
          </w:p>
        </w:tc>
        <w:tc>
          <w:tcPr>
            <w:tcW w:w="1940" w:type="dxa"/>
            <w:vAlign w:val="bottom"/>
            <w:shd w:val="clear" w:color="auto" w:fill="EAEBEC"/>
          </w:tcPr>
          <w:p>
            <w:pPr>
              <w:jc w:val="center"/>
              <w:ind w:left="180"/>
              <w:spacing w:after="0"/>
              <w:rPr>
                <w:sz w:val="20"/>
                <w:szCs w:val="20"/>
                <w:color w:val="auto"/>
              </w:rPr>
            </w:pPr>
            <w:r>
              <w:rPr>
                <w:rFonts w:ascii="Times New Roman" w:cs="Times New Roman" w:eastAsia="Times New Roman" w:hAnsi="Times New Roman"/>
                <w:sz w:val="20"/>
                <w:szCs w:val="20"/>
                <w:color w:val="231F20"/>
                <w:w w:val="98"/>
              </w:rPr>
              <w:t>30 years</w:t>
            </w: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231F20"/>
              </w:rPr>
              <w:t>Equipment</w:t>
            </w:r>
          </w:p>
        </w:tc>
        <w:tc>
          <w:tcPr>
            <w:tcW w:w="194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231F20"/>
              </w:rPr>
              <w:t>3 to 7 years</w:t>
            </w:r>
          </w:p>
        </w:tc>
      </w:tr>
      <w:tr>
        <w:trPr>
          <w:trHeight w:val="230"/>
        </w:trPr>
        <w:tc>
          <w:tcPr>
            <w:tcW w:w="36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Furniture and fixtures</w:t>
            </w:r>
          </w:p>
        </w:tc>
        <w:tc>
          <w:tcPr>
            <w:tcW w:w="1940" w:type="dxa"/>
            <w:vAlign w:val="bottom"/>
            <w:shd w:val="clear" w:color="auto" w:fill="EAEBEC"/>
          </w:tcPr>
          <w:p>
            <w:pPr>
              <w:jc w:val="center"/>
              <w:ind w:left="180"/>
              <w:spacing w:after="0"/>
              <w:rPr>
                <w:sz w:val="20"/>
                <w:szCs w:val="20"/>
                <w:color w:val="auto"/>
              </w:rPr>
            </w:pPr>
            <w:r>
              <w:rPr>
                <w:rFonts w:ascii="Times New Roman" w:cs="Times New Roman" w:eastAsia="Times New Roman" w:hAnsi="Times New Roman"/>
                <w:sz w:val="20"/>
                <w:szCs w:val="20"/>
                <w:color w:val="231F20"/>
              </w:rPr>
              <w:t>4 to 7 years</w:t>
            </w:r>
          </w:p>
        </w:tc>
      </w:tr>
      <w:tr>
        <w:trPr>
          <w:trHeight w:val="266"/>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231F20"/>
              </w:rPr>
              <w:t>Leasehold and building improvements</w:t>
            </w:r>
          </w:p>
        </w:tc>
        <w:tc>
          <w:tcPr>
            <w:tcW w:w="1940" w:type="dxa"/>
            <w:vAlign w:val="bottom"/>
          </w:tcPr>
          <w:p>
            <w:pPr>
              <w:jc w:val="center"/>
              <w:ind w:left="180"/>
              <w:spacing w:after="0"/>
              <w:rPr>
                <w:sz w:val="20"/>
                <w:szCs w:val="20"/>
                <w:color w:val="auto"/>
              </w:rPr>
            </w:pPr>
            <w:r>
              <w:rPr>
                <w:rFonts w:ascii="Times New Roman" w:cs="Times New Roman" w:eastAsia="Times New Roman" w:hAnsi="Times New Roman"/>
                <w:sz w:val="20"/>
                <w:szCs w:val="20"/>
                <w:color w:val="231F20"/>
                <w:w w:val="99"/>
              </w:rPr>
              <w:t>5 to 10 years</w:t>
            </w:r>
          </w:p>
        </w:tc>
      </w:tr>
    </w:tbl>
    <w:p>
      <w:pPr>
        <w:spacing w:after="0" w:line="200" w:lineRule="exact"/>
        <w:rPr>
          <w:sz w:val="20"/>
          <w:szCs w:val="20"/>
          <w:color w:val="auto"/>
        </w:rPr>
      </w:pPr>
    </w:p>
    <w:p>
      <w:pPr>
        <w:spacing w:after="0" w:line="26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31F20"/>
        </w:rPr>
        <w:t>Costs incurred to develop internal-use software during the application development stage, which include costs to design the software configuration and interfaces, coding, installation and testing, are capitalized and reported at cost, less accumulated amortization. Costs of significant upgrades and enhancements that result in additional functionality are also capitalized, whereas costs incurred for maintenance and minor upgrades and enhancements are expensed as incurred. Software and capitalized development costs are included in the Company’s equipment fixed asset category and are amortized using the straight-line method over the estimated useful life of the asset.</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9340"/>
          </w:cols>
          <w:pgMar w:left="1260" w:top="1240" w:right="1280" w:bottom="0" w:gutter="0" w:footer="0" w:header="0"/>
          <w:type w:val="continuous"/>
        </w:sectPr>
      </w:pPr>
    </w:p>
    <w:bookmarkStart w:id="83" w:name="page84"/>
    <w:bookmarkEnd w:id="83"/>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The Company assesses its fixed assets, including internal-use software, for impairment whenever events or changes in circumstances indicate that the carrying value may not be recoverable. The review of recoverability is based on estimates of the undiscounted future cash flows expected to be generated by an asset (or group of assets) at a pet care center level. If impairment exists due to the inability to recover the asset’s carrying value, impairment losses are measured as the amount by which the asset’s carrying value exceeds its fair value using the income approach and are recorded as a reduction of the related asset and charged to the consolidated statements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Goodwill</w:t>
      </w:r>
    </w:p>
    <w:p>
      <w:pPr>
        <w:spacing w:after="0" w:line="24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31F20"/>
        </w:rPr>
        <w:t>Goodwill represents the excess of the cost of acquired businesses over the fair value of the tangible and identifiable intangible assets acquired and liabilities assumed. Goodwill is not amortized. The Company performs its annual impairment test during the fourth quarter of each fiscal year, or more frequently when warranted by events or changes in circumstances. The Company has the option to first perform a qualitative assessment of its goodwill to determine whether it is necessary to perform a quantitative impairment test. If the Company concludes it is more likely than not that its goodwill is impaired, management evaluates the recoverability of goodwill by comparing the carrying value of the Company’s reporting unit to the fair value. An impairment charge is recorded for the amount by which the carrying amount exceeds the reporting unit’s fair value, with the loss recognized not exceeding the total amount of goodwill allocated to that reporting unit. The Company has one reporting unit. In cases where the quantitative test is performed, the fair value of the Company’s reporting unit is estimated by management with the assistance of a third party valuation firm. Significant assumptions used in the determination of fair value of the reporting unit generally include prospective financial information, discount rates, terminal growth rates and earnings multiples.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Trade Name</w:t>
      </w:r>
    </w:p>
    <w:p>
      <w:pPr>
        <w:spacing w:after="0" w:line="24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Company’s trade name has an indefinite life. The Company performs its annual impairment test during the fourth quarter of each fiscal year, or more frequently when warranted by events or changes in circumstances. The Company also has the option to first perform a qualitative assessment of its trade name to determine whether it is necessary to perform a quantitative impairment test. In cases where the quantitative test is performed, the fair value of the Company’s trade name is estimated by management with the assistance of a third party valuation firm. Significant assumptions used in the determination of fair value of the trade name generally include prospective financial information, growth rates, discount rates and comparable multiples from publicly traded companies in similar industries. An impairment charge is recorded for the amount by which the carrying amount of the trade name exceeds its fair value.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Joint Ventures, Equity Method Investments, and Variable Interest Entities</w:t>
      </w:r>
    </w:p>
    <w:p>
      <w:pPr>
        <w:spacing w:after="0" w:line="24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Investments for which the Company exercises significant influence but does not have control are accounted for under the equity method. Equity method investment activity is primarily related to a 50% joint venture with Grupo Gigante, S.A.B. de C.V. (the “Mexico joint venture”) to establish Petco locations in Mexico. The Company’s share of the investee’s results is presented as either income or loss from equity method investees in the accompanying consolidated statements of operations.</w:t>
      </w:r>
    </w:p>
    <w:p>
      <w:pPr>
        <w:spacing w:after="0" w:line="197" w:lineRule="exact"/>
        <w:rPr>
          <w:sz w:val="20"/>
          <w:szCs w:val="20"/>
          <w:color w:val="auto"/>
        </w:rPr>
      </w:pPr>
    </w:p>
    <w:p>
      <w:pPr>
        <w:jc w:val="both"/>
        <w:ind w:right="300" w:firstLine="490"/>
        <w:spacing w:after="0" w:line="278" w:lineRule="auto"/>
        <w:rPr>
          <w:sz w:val="20"/>
          <w:szCs w:val="20"/>
          <w:color w:val="auto"/>
        </w:rPr>
      </w:pPr>
      <w:r>
        <w:rPr>
          <w:rFonts w:ascii="Times New Roman" w:cs="Times New Roman" w:eastAsia="Times New Roman" w:hAnsi="Times New Roman"/>
          <w:sz w:val="19"/>
          <w:szCs w:val="19"/>
          <w:color w:val="231F20"/>
        </w:rPr>
        <w:t>The equity method of accounting is applicable for the Mexico joint venture as the Company does not own more than 50% of voting power or exercise control, but has significant influence over the operation and financial policies of the investee. The joint venture is not material to the Company’s consolidated financial statements.</w:t>
      </w:r>
    </w:p>
    <w:p>
      <w:pPr>
        <w:spacing w:after="0" w:line="171"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The Mexico joint venture purchases certain inventory items and pet care center assets from the Company. The Company also receives royalties from the Mexico joint venture for the use of its trademarks. Revenues generated from these transactions were not material in fiscal 2025, 2024, and 2023. The cumulative unrealized foreign currency adjustment on the translation of the Company’s investment in the joint venture is recorded in accumulated other comprehensive income (“AOCI”), net of tax in the consolidated balance sheets.</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9340"/>
          </w:cols>
          <w:pgMar w:left="1260" w:top="1240" w:right="128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i w:val="1"/>
          <w:iCs w:val="1"/>
          <w:color w:val="231F20"/>
        </w:rPr>
        <w:t>Fair Value Measurements</w:t>
      </w:r>
    </w:p>
    <w:p>
      <w:pPr>
        <w:spacing w:after="0" w:line="24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Fair value represents the price that would be received to sell an asset or paid to transfer a liability in an orderly transaction between market participants on the measurement date. When determining fair value, the Company considers the principal or most advantageous market in which the Company would conduct a transaction, in addition to the assumptions that market participants would use when pricing the related assets or liabilities, including non-performance risk.</w:t>
      </w:r>
    </w:p>
    <w:p>
      <w:pPr>
        <w:spacing w:after="0" w:line="197"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A three-level hierarchy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three levels of the fair value hierarchy are as follows:</w:t>
      </w:r>
    </w:p>
    <w:p>
      <w:pPr>
        <w:spacing w:after="0" w:line="152" w:lineRule="exact"/>
        <w:rPr>
          <w:sz w:val="20"/>
          <w:szCs w:val="20"/>
          <w:color w:val="auto"/>
        </w:rPr>
      </w:pPr>
    </w:p>
    <w:p>
      <w:pPr>
        <w:ind w:left="1460" w:right="1140" w:hanging="935"/>
        <w:spacing w:after="0" w:line="277" w:lineRule="auto"/>
        <w:rPr>
          <w:sz w:val="20"/>
          <w:szCs w:val="20"/>
          <w:color w:val="auto"/>
        </w:rPr>
      </w:pPr>
      <w:r>
        <w:rPr>
          <w:rFonts w:ascii="Times New Roman" w:cs="Times New Roman" w:eastAsia="Times New Roman" w:hAnsi="Times New Roman"/>
          <w:sz w:val="20"/>
          <w:szCs w:val="20"/>
          <w:color w:val="231F20"/>
        </w:rPr>
        <w:t>Level 1 — Quoted prices (unadjusted) in active markets for identical assets or liabilities that the Company has the ability to access at the measurement date.</w:t>
      </w:r>
    </w:p>
    <w:p>
      <w:pPr>
        <w:spacing w:after="0" w:line="95" w:lineRule="exact"/>
        <w:rPr>
          <w:sz w:val="20"/>
          <w:szCs w:val="20"/>
          <w:color w:val="auto"/>
        </w:rPr>
      </w:pPr>
    </w:p>
    <w:p>
      <w:pPr>
        <w:ind w:left="1460" w:right="680" w:hanging="935"/>
        <w:spacing w:after="0" w:line="277" w:lineRule="auto"/>
        <w:rPr>
          <w:sz w:val="20"/>
          <w:szCs w:val="20"/>
          <w:color w:val="auto"/>
        </w:rPr>
      </w:pPr>
      <w:r>
        <w:rPr>
          <w:rFonts w:ascii="Times New Roman" w:cs="Times New Roman" w:eastAsia="Times New Roman" w:hAnsi="Times New Roman"/>
          <w:sz w:val="20"/>
          <w:szCs w:val="20"/>
          <w:color w:val="231F20"/>
        </w:rPr>
        <w:t>Level 2 — Inputs other than quoted prices included within Level 1 that are observable for the asset or liability, either directly or indirectly.</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231F20"/>
        </w:rPr>
        <w:t>Level 3 — Unobservable inputs for the asset or liability.</w:t>
      </w:r>
    </w:p>
    <w:p>
      <w:pPr>
        <w:spacing w:after="0" w:line="276"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31F20"/>
        </w:rPr>
        <w:t>The carrying amounts of the Company’s cash and cash equivalents, accounts receivable, trade accounts payable, and accrued expenses and other current liabilities approximate fair value based on the short-term maturities of these instruments.</w:t>
      </w:r>
    </w:p>
    <w:p>
      <w:pPr>
        <w:spacing w:after="0" w:line="188"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Refer to Notes 7, 8 and 9 for fair value disclosures for the senior secured term credit facilities, derivatives, and other types of assets and liabilities measured at fair value,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Self-Insurance Reserves</w:t>
      </w:r>
    </w:p>
    <w:p>
      <w:pPr>
        <w:spacing w:after="0" w:line="24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31F20"/>
        </w:rPr>
        <w:t>The Company is self-insured for workers’ compensation, general, auto liability and employee-related health care benefits, a portion of which is paid by the Company’s employees. Additionally, the Company has insurance coverage to limit its exposure above a per occurrence retention limit. These insurance policies have stated maximum coverage limits after which the Company bears the risk of loss. The Company determines the related liabilities using a number of factors including historical experience and trends related to claims and payments, information provided by the Company’s insurance brokers and actuaries, an estimate of incurred but not reported claims and industry experience and trends. Estimates of future claim costs for workers’ compensation, general, auto liability and employee-related health care benefits are recorded on an undiscounted basis. All estimates of ultimate loss and loss adjustment expense and resulting reserves are subject to inherent variability caused by the nature of the insurance process. The potentially long period of time between the reporting of an occurrence of an incident and the final resolution of a claim and the possible effects of changes in the legal, social and economic environments contribute to this variability. The Company reports self-insurance liabilities gross of insurance recoveries. As of January 31, 2026, insurance recoveries of $6.5 million and $12.6 million were recorded in other current assets and other long-term assets, respectively. As of February 1, 2025, insurance recoveries of $6.1 million and $13.2 million were recorded in other current assets and other long-term assets, respectively.</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9360"/>
          </w:cols>
          <w:pgMar w:left="1260" w:top="1240" w:right="1260" w:bottom="0" w:gutter="0" w:footer="0" w:header="0"/>
          <w:type w:val="continuous"/>
        </w:sectPr>
      </w:pPr>
    </w:p>
    <w:bookmarkStart w:id="85" w:name="page86"/>
    <w:bookmarkEnd w:id="85"/>
    <w:p>
      <w:pPr>
        <w:ind w:left="500"/>
        <w:spacing w:after="0"/>
        <w:rPr>
          <w:sz w:val="20"/>
          <w:szCs w:val="20"/>
          <w:color w:val="auto"/>
        </w:rPr>
      </w:pPr>
      <w:r>
        <w:rPr>
          <w:rFonts w:ascii="Times New Roman" w:cs="Times New Roman" w:eastAsia="Times New Roman" w:hAnsi="Times New Roman"/>
          <w:sz w:val="20"/>
          <w:szCs w:val="20"/>
          <w:color w:val="231F20"/>
        </w:rPr>
        <w:t>Self-insurance reserves are reflected in the consolidated balance sheets as follows (in thousands):</w:t>
      </w:r>
    </w:p>
    <w:p>
      <w:pPr>
        <w:spacing w:after="0" w:line="290"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6"/>
                <w:szCs w:val="16"/>
                <w:b w:val="1"/>
                <w:bCs w:val="1"/>
                <w:color w:val="231F20"/>
                <w:w w:val="98"/>
              </w:rPr>
              <w:t>January 31,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45"/>
              <w:spacing w:after="0"/>
              <w:rPr>
                <w:sz w:val="20"/>
                <w:szCs w:val="20"/>
                <w:color w:val="auto"/>
              </w:rPr>
            </w:pPr>
            <w:r>
              <w:rPr>
                <w:rFonts w:ascii="Times New Roman" w:cs="Times New Roman" w:eastAsia="Times New Roman" w:hAnsi="Times New Roman"/>
                <w:sz w:val="16"/>
                <w:szCs w:val="16"/>
                <w:b w:val="1"/>
                <w:bCs w:val="1"/>
                <w:color w:val="231F20"/>
              </w:rPr>
              <w:t>February 1,</w:t>
            </w:r>
          </w:p>
        </w:tc>
        <w:tc>
          <w:tcPr>
            <w:tcW w:w="180" w:type="dxa"/>
            <w:vAlign w:val="bottom"/>
          </w:tcPr>
          <w:p>
            <w:pPr>
              <w:spacing w:after="0"/>
              <w:rPr>
                <w:sz w:val="16"/>
                <w:szCs w:val="16"/>
                <w:color w:val="auto"/>
              </w:rPr>
            </w:pPr>
          </w:p>
        </w:tc>
      </w:tr>
      <w:tr>
        <w:trPr>
          <w:trHeight w:val="203"/>
        </w:trPr>
        <w:tc>
          <w:tcPr>
            <w:tcW w:w="4940" w:type="dxa"/>
            <w:vAlign w:val="bottom"/>
            <w:tcBorders>
              <w:bottom w:val="single" w:sz="8" w:color="EAEBEC"/>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200" w:type="dxa"/>
            <w:vAlign w:val="bottom"/>
            <w:tcBorders>
              <w:bottom w:val="single" w:sz="8" w:color="EAEBEC"/>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80" w:type="dxa"/>
            <w:vAlign w:val="bottom"/>
            <w:tcBorders>
              <w:bottom w:val="single" w:sz="8" w:color="EAEBEC"/>
            </w:tcBorders>
          </w:tcPr>
          <w:p>
            <w:pPr>
              <w:spacing w:after="0"/>
              <w:rPr>
                <w:sz w:val="17"/>
                <w:szCs w:val="17"/>
                <w:color w:val="auto"/>
              </w:rPr>
            </w:pPr>
          </w:p>
        </w:tc>
      </w:tr>
      <w:tr>
        <w:trPr>
          <w:trHeight w:val="239"/>
        </w:trPr>
        <w:tc>
          <w:tcPr>
            <w:tcW w:w="49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Current:</w:t>
            </w:r>
          </w:p>
        </w:tc>
        <w:tc>
          <w:tcPr>
            <w:tcW w:w="20" w:type="dxa"/>
            <w:vAlign w:val="bottom"/>
          </w:tcPr>
          <w:p>
            <w:pPr>
              <w:spacing w:after="0"/>
              <w:rPr>
                <w:sz w:val="20"/>
                <w:szCs w:val="20"/>
                <w:color w:val="auto"/>
              </w:rPr>
            </w:pPr>
          </w:p>
        </w:tc>
        <w:tc>
          <w:tcPr>
            <w:tcW w:w="100" w:type="dxa"/>
            <w:vAlign w:val="bottom"/>
            <w:shd w:val="clear" w:color="auto" w:fill="EAEBEC"/>
          </w:tcPr>
          <w:p>
            <w:pPr>
              <w:spacing w:after="0"/>
              <w:rPr>
                <w:sz w:val="20"/>
                <w:szCs w:val="20"/>
                <w:color w:val="auto"/>
              </w:rPr>
            </w:pPr>
          </w:p>
        </w:tc>
        <w:tc>
          <w:tcPr>
            <w:tcW w:w="960" w:type="dxa"/>
            <w:vAlign w:val="bottom"/>
            <w:shd w:val="clear" w:color="auto" w:fill="EAEBEC"/>
          </w:tcPr>
          <w:p>
            <w:pPr>
              <w:spacing w:after="0"/>
              <w:rPr>
                <w:sz w:val="20"/>
                <w:szCs w:val="20"/>
                <w:color w:val="auto"/>
              </w:rPr>
            </w:pPr>
          </w:p>
        </w:tc>
        <w:tc>
          <w:tcPr>
            <w:tcW w:w="200" w:type="dxa"/>
            <w:vAlign w:val="bottom"/>
            <w:shd w:val="clear" w:color="auto" w:fill="EAEBEC"/>
          </w:tcPr>
          <w:p>
            <w:pPr>
              <w:spacing w:after="0"/>
              <w:rPr>
                <w:sz w:val="20"/>
                <w:szCs w:val="20"/>
                <w:color w:val="auto"/>
              </w:rPr>
            </w:pPr>
          </w:p>
        </w:tc>
        <w:tc>
          <w:tcPr>
            <w:tcW w:w="100" w:type="dxa"/>
            <w:vAlign w:val="bottom"/>
            <w:shd w:val="clear" w:color="auto" w:fill="EAEBEC"/>
          </w:tcPr>
          <w:p>
            <w:pPr>
              <w:spacing w:after="0"/>
              <w:rPr>
                <w:sz w:val="20"/>
                <w:szCs w:val="20"/>
                <w:color w:val="auto"/>
              </w:rPr>
            </w:pPr>
          </w:p>
        </w:tc>
        <w:tc>
          <w:tcPr>
            <w:tcW w:w="980" w:type="dxa"/>
            <w:vAlign w:val="bottom"/>
            <w:shd w:val="clear" w:color="auto" w:fill="EAEBEC"/>
          </w:tcPr>
          <w:p>
            <w:pPr>
              <w:spacing w:after="0"/>
              <w:rPr>
                <w:sz w:val="20"/>
                <w:szCs w:val="20"/>
                <w:color w:val="auto"/>
              </w:rPr>
            </w:pPr>
          </w:p>
        </w:tc>
        <w:tc>
          <w:tcPr>
            <w:tcW w:w="180" w:type="dxa"/>
            <w:vAlign w:val="bottom"/>
            <w:shd w:val="clear" w:color="auto" w:fill="EAEBEC"/>
          </w:tcPr>
          <w:p>
            <w:pPr>
              <w:spacing w:after="0"/>
              <w:rPr>
                <w:sz w:val="20"/>
                <w:szCs w:val="20"/>
                <w:color w:val="auto"/>
              </w:rPr>
            </w:pPr>
          </w:p>
        </w:tc>
      </w:tr>
      <w:tr>
        <w:trPr>
          <w:trHeight w:val="225"/>
        </w:trPr>
        <w:tc>
          <w:tcPr>
            <w:tcW w:w="49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Workers’ compensation and employee-related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9"/>
        </w:trPr>
        <w:tc>
          <w:tcPr>
            <w:tcW w:w="4940" w:type="dxa"/>
            <w:vAlign w:val="bottom"/>
          </w:tcPr>
          <w:p>
            <w:pPr>
              <w:ind w:left="340"/>
              <w:spacing w:after="0"/>
              <w:rPr>
                <w:sz w:val="20"/>
                <w:szCs w:val="20"/>
                <w:color w:val="auto"/>
              </w:rPr>
            </w:pPr>
            <w:r>
              <w:rPr>
                <w:rFonts w:ascii="Times New Roman" w:cs="Times New Roman" w:eastAsia="Times New Roman" w:hAnsi="Times New Roman"/>
                <w:sz w:val="20"/>
                <w:szCs w:val="20"/>
                <w:color w:val="231F20"/>
              </w:rPr>
              <w:t>health care benefits reserves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39,634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33,564</w:t>
            </w:r>
          </w:p>
        </w:tc>
        <w:tc>
          <w:tcPr>
            <w:tcW w:w="180" w:type="dxa"/>
            <w:vAlign w:val="bottom"/>
          </w:tcPr>
          <w:p>
            <w:pPr>
              <w:spacing w:after="0"/>
              <w:rPr>
                <w:sz w:val="21"/>
                <w:szCs w:val="21"/>
                <w:color w:val="auto"/>
              </w:rPr>
            </w:pPr>
          </w:p>
        </w:tc>
      </w:tr>
      <w:tr>
        <w:trPr>
          <w:trHeight w:val="244"/>
        </w:trPr>
        <w:tc>
          <w:tcPr>
            <w:tcW w:w="49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General and auto liability reserves</w:t>
            </w:r>
          </w:p>
        </w:tc>
        <w:tc>
          <w:tcPr>
            <w:tcW w:w="20" w:type="dxa"/>
            <w:vAlign w:val="bottom"/>
            <w:shd w:val="clear" w:color="auto" w:fill="EAEBEC"/>
          </w:tcPr>
          <w:p>
            <w:pPr>
              <w:spacing w:after="0"/>
              <w:rPr>
                <w:sz w:val="21"/>
                <w:szCs w:val="21"/>
                <w:color w:val="auto"/>
              </w:rPr>
            </w:pPr>
          </w:p>
        </w:tc>
        <w:tc>
          <w:tcPr>
            <w:tcW w:w="100" w:type="dxa"/>
            <w:vAlign w:val="bottom"/>
            <w:tcBorders>
              <w:bottom w:val="single" w:sz="8" w:color="231F20"/>
            </w:tcBorders>
            <w:shd w:val="clear" w:color="auto" w:fill="EAEBEC"/>
          </w:tcPr>
          <w:p>
            <w:pPr>
              <w:spacing w:after="0"/>
              <w:rPr>
                <w:sz w:val="21"/>
                <w:szCs w:val="21"/>
                <w:color w:val="auto"/>
              </w:rPr>
            </w:pPr>
          </w:p>
        </w:tc>
        <w:tc>
          <w:tcPr>
            <w:tcW w:w="9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7,904</w:t>
            </w:r>
          </w:p>
        </w:tc>
        <w:tc>
          <w:tcPr>
            <w:tcW w:w="200" w:type="dxa"/>
            <w:vAlign w:val="bottom"/>
            <w:shd w:val="clear" w:color="auto" w:fill="EAEBEC"/>
          </w:tcPr>
          <w:p>
            <w:pPr>
              <w:spacing w:after="0"/>
              <w:rPr>
                <w:sz w:val="21"/>
                <w:szCs w:val="21"/>
                <w:color w:val="auto"/>
              </w:rPr>
            </w:pPr>
          </w:p>
        </w:tc>
        <w:tc>
          <w:tcPr>
            <w:tcW w:w="100" w:type="dxa"/>
            <w:vAlign w:val="bottom"/>
            <w:tcBorders>
              <w:bottom w:val="single" w:sz="8" w:color="231F20"/>
            </w:tcBorders>
            <w:shd w:val="clear" w:color="auto" w:fill="EAEBEC"/>
          </w:tcPr>
          <w:p>
            <w:pPr>
              <w:spacing w:after="0"/>
              <w:rPr>
                <w:sz w:val="21"/>
                <w:szCs w:val="21"/>
                <w:color w:val="auto"/>
              </w:rPr>
            </w:pPr>
          </w:p>
        </w:tc>
        <w:tc>
          <w:tcPr>
            <w:tcW w:w="9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6,899</w:t>
            </w:r>
          </w:p>
        </w:tc>
        <w:tc>
          <w:tcPr>
            <w:tcW w:w="180" w:type="dxa"/>
            <w:vAlign w:val="bottom"/>
            <w:shd w:val="clear" w:color="auto" w:fill="EAEBEC"/>
          </w:tcPr>
          <w:p>
            <w:pPr>
              <w:spacing w:after="0"/>
              <w:rPr>
                <w:sz w:val="21"/>
                <w:szCs w:val="21"/>
                <w:color w:val="auto"/>
              </w:rPr>
            </w:pPr>
          </w:p>
        </w:tc>
      </w:tr>
      <w:tr>
        <w:trPr>
          <w:trHeight w:val="279"/>
        </w:trPr>
        <w:tc>
          <w:tcPr>
            <w:tcW w:w="4940" w:type="dxa"/>
            <w:vAlign w:val="bottom"/>
            <w:tcBorders>
              <w:bottom w:val="single" w:sz="8" w:color="EAEBE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47,538</w:t>
            </w:r>
          </w:p>
        </w:tc>
        <w:tc>
          <w:tcPr>
            <w:tcW w:w="200" w:type="dxa"/>
            <w:vAlign w:val="bottom"/>
            <w:tcBorders>
              <w:bottom w:val="single" w:sz="8" w:color="EAEBEC"/>
            </w:tcBorders>
          </w:tcPr>
          <w:p>
            <w:pPr>
              <w:spacing w:after="0"/>
              <w:rPr>
                <w:sz w:val="24"/>
                <w:szCs w:val="24"/>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40,463</w:t>
            </w:r>
          </w:p>
        </w:tc>
        <w:tc>
          <w:tcPr>
            <w:tcW w:w="180" w:type="dxa"/>
            <w:vAlign w:val="bottom"/>
            <w:tcBorders>
              <w:bottom w:val="single" w:sz="8" w:color="EAEBEC"/>
            </w:tcBorders>
          </w:tcPr>
          <w:p>
            <w:pPr>
              <w:spacing w:after="0"/>
              <w:rPr>
                <w:sz w:val="24"/>
                <w:szCs w:val="24"/>
                <w:color w:val="auto"/>
              </w:rPr>
            </w:pPr>
          </w:p>
        </w:tc>
      </w:tr>
      <w:tr>
        <w:trPr>
          <w:trHeight w:val="229"/>
        </w:trPr>
        <w:tc>
          <w:tcPr>
            <w:tcW w:w="49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Non-current:</w:t>
            </w:r>
          </w:p>
        </w:tc>
        <w:tc>
          <w:tcPr>
            <w:tcW w:w="20" w:type="dxa"/>
            <w:vAlign w:val="bottom"/>
          </w:tcPr>
          <w:p>
            <w:pPr>
              <w:spacing w:after="0"/>
              <w:rPr>
                <w:sz w:val="19"/>
                <w:szCs w:val="19"/>
                <w:color w:val="auto"/>
              </w:rPr>
            </w:pPr>
          </w:p>
        </w:tc>
        <w:tc>
          <w:tcPr>
            <w:tcW w:w="100" w:type="dxa"/>
            <w:vAlign w:val="bottom"/>
            <w:shd w:val="clear" w:color="auto" w:fill="EAEBEC"/>
          </w:tcPr>
          <w:p>
            <w:pPr>
              <w:spacing w:after="0"/>
              <w:rPr>
                <w:sz w:val="19"/>
                <w:szCs w:val="19"/>
                <w:color w:val="auto"/>
              </w:rPr>
            </w:pPr>
          </w:p>
        </w:tc>
        <w:tc>
          <w:tcPr>
            <w:tcW w:w="960" w:type="dxa"/>
            <w:vAlign w:val="bottom"/>
            <w:shd w:val="clear" w:color="auto" w:fill="EAEBEC"/>
          </w:tcPr>
          <w:p>
            <w:pPr>
              <w:spacing w:after="0"/>
              <w:rPr>
                <w:sz w:val="19"/>
                <w:szCs w:val="19"/>
                <w:color w:val="auto"/>
              </w:rPr>
            </w:pPr>
          </w:p>
        </w:tc>
        <w:tc>
          <w:tcPr>
            <w:tcW w:w="200" w:type="dxa"/>
            <w:vAlign w:val="bottom"/>
            <w:shd w:val="clear" w:color="auto" w:fill="EAEBEC"/>
          </w:tcPr>
          <w:p>
            <w:pPr>
              <w:spacing w:after="0"/>
              <w:rPr>
                <w:sz w:val="19"/>
                <w:szCs w:val="19"/>
                <w:color w:val="auto"/>
              </w:rPr>
            </w:pPr>
          </w:p>
        </w:tc>
        <w:tc>
          <w:tcPr>
            <w:tcW w:w="100" w:type="dxa"/>
            <w:vAlign w:val="bottom"/>
            <w:shd w:val="clear" w:color="auto" w:fill="EAEBEC"/>
          </w:tcPr>
          <w:p>
            <w:pPr>
              <w:spacing w:after="0"/>
              <w:rPr>
                <w:sz w:val="19"/>
                <w:szCs w:val="19"/>
                <w:color w:val="auto"/>
              </w:rPr>
            </w:pPr>
          </w:p>
        </w:tc>
        <w:tc>
          <w:tcPr>
            <w:tcW w:w="980" w:type="dxa"/>
            <w:vAlign w:val="bottom"/>
            <w:shd w:val="clear" w:color="auto" w:fill="EAEBEC"/>
          </w:tcPr>
          <w:p>
            <w:pPr>
              <w:spacing w:after="0"/>
              <w:rPr>
                <w:sz w:val="19"/>
                <w:szCs w:val="19"/>
                <w:color w:val="auto"/>
              </w:rPr>
            </w:pPr>
          </w:p>
        </w:tc>
        <w:tc>
          <w:tcPr>
            <w:tcW w:w="180" w:type="dxa"/>
            <w:vAlign w:val="bottom"/>
            <w:shd w:val="clear" w:color="auto" w:fill="EAEBEC"/>
          </w:tcPr>
          <w:p>
            <w:pPr>
              <w:spacing w:after="0"/>
              <w:rPr>
                <w:sz w:val="19"/>
                <w:szCs w:val="19"/>
                <w:color w:val="auto"/>
              </w:rPr>
            </w:pPr>
          </w:p>
        </w:tc>
      </w:tr>
      <w:tr>
        <w:trPr>
          <w:trHeight w:val="244"/>
        </w:trPr>
        <w:tc>
          <w:tcPr>
            <w:tcW w:w="49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Workers’ compensation reserve</w:t>
            </w: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30,368</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32,253</w:t>
            </w:r>
          </w:p>
        </w:tc>
        <w:tc>
          <w:tcPr>
            <w:tcW w:w="180" w:type="dxa"/>
            <w:vAlign w:val="bottom"/>
          </w:tcPr>
          <w:p>
            <w:pPr>
              <w:spacing w:after="0"/>
              <w:rPr>
                <w:sz w:val="21"/>
                <w:szCs w:val="21"/>
                <w:color w:val="auto"/>
              </w:rPr>
            </w:pPr>
          </w:p>
        </w:tc>
      </w:tr>
      <w:tr>
        <w:trPr>
          <w:trHeight w:val="244"/>
        </w:trPr>
        <w:tc>
          <w:tcPr>
            <w:tcW w:w="49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General and auto liability reserves</w:t>
            </w:r>
          </w:p>
        </w:tc>
        <w:tc>
          <w:tcPr>
            <w:tcW w:w="20" w:type="dxa"/>
            <w:vAlign w:val="bottom"/>
            <w:shd w:val="clear" w:color="auto" w:fill="EAEBEC"/>
          </w:tcPr>
          <w:p>
            <w:pPr>
              <w:spacing w:after="0"/>
              <w:rPr>
                <w:sz w:val="21"/>
                <w:szCs w:val="21"/>
                <w:color w:val="auto"/>
              </w:rPr>
            </w:pPr>
          </w:p>
        </w:tc>
        <w:tc>
          <w:tcPr>
            <w:tcW w:w="100" w:type="dxa"/>
            <w:vAlign w:val="bottom"/>
            <w:tcBorders>
              <w:bottom w:val="single" w:sz="8" w:color="231F20"/>
            </w:tcBorders>
            <w:shd w:val="clear" w:color="auto" w:fill="EAEBEC"/>
          </w:tcPr>
          <w:p>
            <w:pPr>
              <w:spacing w:after="0"/>
              <w:rPr>
                <w:sz w:val="21"/>
                <w:szCs w:val="21"/>
                <w:color w:val="auto"/>
              </w:rPr>
            </w:pPr>
          </w:p>
        </w:tc>
        <w:tc>
          <w:tcPr>
            <w:tcW w:w="9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17,912</w:t>
            </w:r>
          </w:p>
        </w:tc>
        <w:tc>
          <w:tcPr>
            <w:tcW w:w="200" w:type="dxa"/>
            <w:vAlign w:val="bottom"/>
            <w:shd w:val="clear" w:color="auto" w:fill="EAEBEC"/>
          </w:tcPr>
          <w:p>
            <w:pPr>
              <w:spacing w:after="0"/>
              <w:rPr>
                <w:sz w:val="21"/>
                <w:szCs w:val="21"/>
                <w:color w:val="auto"/>
              </w:rPr>
            </w:pPr>
          </w:p>
        </w:tc>
        <w:tc>
          <w:tcPr>
            <w:tcW w:w="100" w:type="dxa"/>
            <w:vAlign w:val="bottom"/>
            <w:tcBorders>
              <w:bottom w:val="single" w:sz="8" w:color="231F20"/>
            </w:tcBorders>
            <w:shd w:val="clear" w:color="auto" w:fill="EAEBEC"/>
          </w:tcPr>
          <w:p>
            <w:pPr>
              <w:spacing w:after="0"/>
              <w:rPr>
                <w:sz w:val="21"/>
                <w:szCs w:val="21"/>
                <w:color w:val="auto"/>
              </w:rPr>
            </w:pPr>
          </w:p>
        </w:tc>
        <w:tc>
          <w:tcPr>
            <w:tcW w:w="9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18,550</w:t>
            </w:r>
          </w:p>
        </w:tc>
        <w:tc>
          <w:tcPr>
            <w:tcW w:w="180" w:type="dxa"/>
            <w:vAlign w:val="bottom"/>
            <w:shd w:val="clear" w:color="auto" w:fill="EAEBEC"/>
          </w:tcPr>
          <w:p>
            <w:pPr>
              <w:spacing w:after="0"/>
              <w:rPr>
                <w:sz w:val="21"/>
                <w:szCs w:val="21"/>
                <w:color w:val="auto"/>
              </w:rPr>
            </w:pPr>
          </w:p>
        </w:tc>
      </w:tr>
      <w:tr>
        <w:trPr>
          <w:trHeight w:val="239"/>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48,280</w:t>
            </w:r>
          </w:p>
        </w:tc>
        <w:tc>
          <w:tcPr>
            <w:tcW w:w="200" w:type="dxa"/>
            <w:vAlign w:val="bottom"/>
          </w:tcPr>
          <w:p>
            <w:pPr>
              <w:spacing w:after="0"/>
              <w:rPr>
                <w:sz w:val="20"/>
                <w:szCs w:val="20"/>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50,803</w:t>
            </w:r>
          </w:p>
        </w:tc>
        <w:tc>
          <w:tcPr>
            <w:tcW w:w="180" w:type="dxa"/>
            <w:vAlign w:val="bottom"/>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The current portion and non-current portion of self-insurance reserves for workers’ compensation and employee-related health care benefits are included in accrued salaries and employee benefits and other long-term liabilities, respectively, in the consolidated balance sheets. The current portion and non-current portion of self-insurance reserves for general and auto liability costs are included in accrued expenses and other liabilities and other long-term liabilities, respectively, in the consolidated balance sheets.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12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The Company recognizes revenue when control of promised goods or services is transferred to customers, in an amount that reflects the consideration to which the Company expects to be entitled to in exchange for those goods or services.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See Note 2 for further discussion on revenue recognition.</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Cost of Sales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Cost of sales includes the following types of expenses:</w:t>
      </w:r>
    </w:p>
    <w:p>
      <w:pPr>
        <w:spacing w:after="0" w:line="134" w:lineRule="exact"/>
        <w:rPr>
          <w:sz w:val="20"/>
          <w:szCs w:val="20"/>
          <w:color w:val="auto"/>
        </w:rPr>
      </w:pPr>
    </w:p>
    <w:p>
      <w:pPr>
        <w:ind w:left="980" w:right="520" w:hanging="490"/>
        <w:spacing w:after="0" w:line="276" w:lineRule="auto"/>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Direct costs (net of vendor rebates, allowances and discounts for products sold) including inbound freight charges;</w:t>
      </w:r>
    </w:p>
    <w:p>
      <w:pPr>
        <w:spacing w:after="0" w:line="64" w:lineRule="exact"/>
        <w:rPr>
          <w:rFonts w:ascii="Arial" w:cs="Arial" w:eastAsia="Arial" w:hAnsi="Arial"/>
          <w:sz w:val="20"/>
          <w:szCs w:val="20"/>
          <w:color w:val="231F20"/>
        </w:rPr>
      </w:pPr>
    </w:p>
    <w:p>
      <w:pPr>
        <w:ind w:left="980" w:hanging="490"/>
        <w:spacing w:after="0"/>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Shipping and handling costs associated with sales to customers;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Freight costs associated with moving merchandise inventories;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Inventory shrinkage costs and write-downs;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Payroll and benefit costs of pet groomers, trainers, veterinarians and other direct costs of services; and</w:t>
      </w:r>
    </w:p>
    <w:p>
      <w:pPr>
        <w:spacing w:after="0" w:line="133" w:lineRule="exact"/>
        <w:rPr>
          <w:rFonts w:ascii="Arial" w:cs="Arial" w:eastAsia="Arial" w:hAnsi="Arial"/>
          <w:sz w:val="20"/>
          <w:szCs w:val="20"/>
          <w:color w:val="231F20"/>
        </w:rPr>
      </w:pPr>
    </w:p>
    <w:p>
      <w:pPr>
        <w:ind w:left="980" w:right="500" w:hanging="490"/>
        <w:spacing w:after="0" w:line="276" w:lineRule="auto"/>
        <w:tabs>
          <w:tab w:leader="none" w:pos="98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associated with operating the Company’s distribution centers including payroll and benefits, occupancy costs, and depreciation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Selling, General and Administrative Expenses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Selling, general and administrative expenses include the following types of expenses:</w:t>
      </w:r>
    </w:p>
    <w:p>
      <w:pPr>
        <w:spacing w:after="0" w:line="134" w:lineRule="exact"/>
        <w:rPr>
          <w:sz w:val="20"/>
          <w:szCs w:val="20"/>
          <w:color w:val="auto"/>
        </w:rPr>
      </w:pPr>
    </w:p>
    <w:p>
      <w:pPr>
        <w:ind w:left="980" w:hanging="490"/>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Payroll and benefit costs of pet care center and corporate employees;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Occupancy and operating costs of pet care center and corporate facilities;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Depreciation and amortization related to pet care center and corporate assets;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Credit card fees;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9360"/>
          </w:cols>
          <w:pgMar w:left="1260" w:top="1240" w:right="1260" w:bottom="0" w:gutter="0" w:footer="0" w:header="0"/>
          <w:type w:val="continuous"/>
        </w:sectPr>
      </w:pPr>
    </w:p>
    <w:bookmarkStart w:id="86" w:name="page87"/>
    <w:bookmarkEnd w:id="86"/>
    <w:p>
      <w:pPr>
        <w:ind w:left="980" w:hanging="490"/>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Store pre-opening and remodeling costs;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Advertising costs;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Other selling and administrative costs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Advertising Expenses</w:t>
      </w:r>
    </w:p>
    <w:p>
      <w:pPr>
        <w:spacing w:after="0" w:line="24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The Company records advertising expense as incurred and classifies advertising costs within selling, general and administrative expenses in the consolidated statements of operations. The Company’s advertising expenses were $157.8 million, $156.1 million, and $194.4 million for fiscal 2025, 2024, and 2023,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Leases</w:t>
      </w:r>
    </w:p>
    <w:p>
      <w:pPr>
        <w:spacing w:after="0" w:line="24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31F20"/>
        </w:rPr>
        <w:t>The majority of the Company’s lease liabilities are real estate operating leases from which pet care center, corporate support, and distribution operations are conducted. The Company also leases equipment, vehicles, and certain pet care center locations under finance leases. Lease terms generally do not include options to terminate the lease and only include options to extend the lease, if it is reasonably certain that the option will be exercised. For any lease with an initial term in excess of 12 months, the related lease assets and liabilities are recognized on the consolidated balance sheet as an operating or finance lease at the commencement of the lease agreement. Leases with an initial term of 12 months or less are not recorded on the consolidated balance sheet. The Company recognizes lease expense for these short-term leases on a straight-line basis over the lease term.</w:t>
      </w:r>
    </w:p>
    <w:p>
      <w:pPr>
        <w:spacing w:after="0" w:line="202"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19"/>
          <w:szCs w:val="19"/>
          <w:color w:val="231F20"/>
        </w:rPr>
        <w:t>Operating lease assets represent the right to use an underlying asset for the lease term, and operating lease liabilities represent the obligation to make lease payments arising from the lease. These assets and liabilities are recognized based on the present value of future payments over the lease term at the commencement date. The Company uses a collateralized incremental borrowing rate based on the information available at the commencement date to determine the present value of future payments. Operating leases typically require payment of certain non-lease costs, such as real estate taxes, common area maintenance and insurance. These components comprise the majority of the Company’s variable lease costs and are excluded from the present value of lease liabilities unless an event occurs that results in the payments becoming fixed for the remaining term. The remaining lease and non-lease components are accounted for together as a single lease component for all underlying classes of assets. Operating lease assets are adjusted for lease incentives, initial direct costs, impairments, and exit or disposal costs.</w:t>
      </w:r>
    </w:p>
    <w:p>
      <w:pPr>
        <w:spacing w:after="0" w:line="191"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31F20"/>
        </w:rPr>
        <w:t>Operating lease costs are recognized on a straight-line basis from the commencement date to the end of the lease term. Operating lease costs relating to distribution centers are included in cost of sales, and operating lease costs relating to pet care center and corporate support locations are included in selling, general and administrative expenses in the consolidated statements of operations. Amortization on finance lease right-of-use assets relating to distribution centers are included in cost of sales, and amortization on finance lease right-of-use assets relating to pet care center and corporate support locations are included in selling, general and administrative expenses in the consolidated statements of operations. Interest on finance lease right-of-use assets is included in interest expense in the consolidated statements of operations. The Company’s lease agreements do not contain any material residual value guarantees or material restrictive covenants.</w:t>
      </w:r>
    </w:p>
    <w:p>
      <w:pPr>
        <w:spacing w:after="0" w:line="206"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231F20"/>
        </w:rPr>
        <w:t>The Company records contractual obligations associated with the retirement of long-lived assets at their fair value at the time the obligations are incurred. These obligations arise from certain leases and primarily relate to the cost of removing leasehold improvements and certain fixtures from such lease sites and restoring the sites to their original condition. Upon initial recognition of the liability, that cost is capitalized as part of the related long-lived asset and depreciated on a straight-line basis over the estimated useful life of the asset. Activity related to these obligations in fiscal 2025, 2024, and 2023 was not material. The Company’s asset retirement obligation was $6.7 million and $6.4 million at January 31, 2026 and February 1, 2025, respectively, and is included in other long-term liabilities in the consolidated balance sheets.</w:t>
      </w:r>
    </w:p>
    <w:p>
      <w:pPr>
        <w:sectPr>
          <w:pgSz w:w="11880" w:h="15480" w:orient="portrait"/>
          <w:cols w:equalWidth="0" w:num="1">
            <w:col w:w="9360"/>
          </w:cols>
          <w:pgMar w:left="1260" w:top="125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77</w:t>
      </w:r>
    </w:p>
    <w:p>
      <w:pPr>
        <w:sectPr>
          <w:pgSz w:w="11880" w:h="15480" w:orient="portrait"/>
          <w:cols w:equalWidth="0" w:num="1">
            <w:col w:w="9360"/>
          </w:cols>
          <w:pgMar w:left="1260" w:top="1254" w:right="126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240"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31F20"/>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consolidated statements of operations in the period that includes the enactment date. Valuation allowances, if any, are recorded against net deferred tax assets when it is considered more likely than not that some portion or all of a deferred tax asset may not be recoverable. Refer to Note 12 for further disclosures of the Company’s income taxes.</w:t>
      </w:r>
    </w:p>
    <w:p>
      <w:pPr>
        <w:spacing w:after="0" w:line="202"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Management regularly evaluates the likelihood of recognizing the benefit for income tax positions it has taken in various federal and state filings by considering relevant facts, circumstances and information available. The authoritative guidance clarifies the accounting for income taxes by prescribing a minimum probability threshold that a tax position must meet before a financial statement benefit is recognized. The minimum threshold for recognizing the benefit of a tax position is that such position is more likely than not to be sustained upon examination by the taxing authority, including resolution of any related appeals or litigation processes, and is based on the technical merits of the position.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Equity-Based Compensation</w:t>
      </w:r>
    </w:p>
    <w:p>
      <w:pPr>
        <w:spacing w:after="0" w:line="240"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Equity-based compensation cost is measured at the grant date, based on the estimated fair value of the award, and is recognized as expense on a straight-line basis over the vesting period of the award, which is also the requisite service period, based upon the corresponding vesting method and probability of vesting (Note 11). The Company recognizes the effect of pre-vesting forfeitures as they occur.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Derivative Instruments</w:t>
      </w:r>
    </w:p>
    <w:p>
      <w:pPr>
        <w:spacing w:after="0" w:line="221" w:lineRule="exact"/>
        <w:rPr>
          <w:sz w:val="20"/>
          <w:szCs w:val="20"/>
          <w:color w:val="auto"/>
        </w:rPr>
      </w:pPr>
    </w:p>
    <w:p>
      <w:pPr>
        <w:ind w:firstLine="490"/>
        <w:spacing w:after="0" w:line="226" w:lineRule="auto"/>
        <w:rPr>
          <w:sz w:val="20"/>
          <w:szCs w:val="20"/>
          <w:color w:val="auto"/>
        </w:rPr>
      </w:pPr>
      <w:r>
        <w:rPr>
          <w:rFonts w:ascii="Times New Roman" w:cs="Times New Roman" w:eastAsia="Times New Roman" w:hAnsi="Times New Roman"/>
          <w:sz w:val="20"/>
          <w:szCs w:val="20"/>
          <w:color w:val="231F20"/>
        </w:rPr>
        <w:t>In November 2022, the Company entered into a series of interest rate cap agreements to limit the maximum interest on a portion of the Company’s variable-rate debt and decrease its exposure to interest rate variability relating to the three-month Secured Overnight Financing Rate as published by CME Group ("Term SOFR"). The interest rate caps became effective December 30, 2022 and expired on December 31, 2024. The interest rate caps were accounted for as cash flow hedges, and changes in the fair value of the interest rate caps are reported as a component of accumulated other comprehensive income (loss) ("AOCI").</w:t>
      </w:r>
    </w:p>
    <w:p>
      <w:pPr>
        <w:spacing w:after="0" w:line="201"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The Company has also entered into interest rate collar and interest rate swap agreements to limit the maximum interest on a portion of the Company’s variable-rate debt and decrease its exposure to interest rate variability relating to three-month Term SOFR. The interest rate collars and swap are accounted for as cash flow hedges, and changes in the fair value are reported as a component of AOCI.</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Refer to Note 8 for further disclosures of the Company’s derivative instruments and hedging activities.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Recent Accounting Pronouncements</w:t>
      </w:r>
    </w:p>
    <w:p>
      <w:pPr>
        <w:spacing w:after="0" w:line="24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31F20"/>
        </w:rPr>
        <w:t>In December 2023, the FASB issued Accounting Standards Update No. 2023-09 – Income Taxes (Topic 740): Improvements to Income Tax Disclosures, which is intended to enhance the transparency of income tax matters within financial statements. The ASU requires public business entities to disclose, on an annual basis, specific categories in the rate reconciliation and provide additional information for reconciling items that meet a specific quantitative threshold. The Company adopted this ASU effective January 31, 2026. The adoption did not have any impact on the Company’s consolidated financial statements, outside of the enhanced disclosures in Note 12, "Income Taxes."</w:t>
      </w:r>
    </w:p>
    <w:p>
      <w:pPr>
        <w:spacing w:after="0" w:line="200" w:lineRule="exact"/>
        <w:rPr>
          <w:sz w:val="20"/>
          <w:szCs w:val="20"/>
          <w:color w:val="auto"/>
        </w:rPr>
      </w:pPr>
    </w:p>
    <w:p>
      <w:pPr>
        <w:ind w:right="460" w:firstLine="490"/>
        <w:spacing w:after="0" w:line="270" w:lineRule="auto"/>
        <w:rPr>
          <w:sz w:val="20"/>
          <w:szCs w:val="20"/>
          <w:color w:val="auto"/>
        </w:rPr>
      </w:pPr>
      <w:r>
        <w:rPr>
          <w:rFonts w:ascii="Times New Roman" w:cs="Times New Roman" w:eastAsia="Times New Roman" w:hAnsi="Times New Roman"/>
          <w:sz w:val="19"/>
          <w:szCs w:val="19"/>
          <w:color w:val="231F20"/>
        </w:rPr>
        <w:t>In November 2024, the FASB issued ASU No. 2024-03 – Income Statement (Subtopic 220-40): Expense Disaggregation Disclosures, which is intended to improve disclosures on the nature of expenses included in the income statement. The ASU requires additional disclosures about specific expense categories in the notes to financial statements at interim and annual reporting periods, including purchases of inventory, employee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78</w:t>
      </w:r>
    </w:p>
    <w:p>
      <w:pPr>
        <w:sectPr>
          <w:pgSz w:w="11880" w:h="15480" w:orient="portrait"/>
          <w:cols w:equalWidth="0" w:num="1">
            <w:col w:w="9360"/>
          </w:cols>
          <w:pgMar w:left="1260" w:top="1240" w:right="1260" w:bottom="0" w:gutter="0" w:footer="0" w:header="0"/>
          <w:type w:val="continuous"/>
        </w:sectPr>
      </w:pPr>
    </w:p>
    <w:bookmarkStart w:id="88" w:name="page89"/>
    <w:bookmarkEnd w:id="88"/>
    <w:p>
      <w:pPr>
        <w:ind w:right="180"/>
        <w:spacing w:after="0" w:line="252" w:lineRule="auto"/>
        <w:rPr>
          <w:sz w:val="20"/>
          <w:szCs w:val="20"/>
          <w:color w:val="auto"/>
        </w:rPr>
      </w:pPr>
      <w:r>
        <w:rPr>
          <w:rFonts w:ascii="Times New Roman" w:cs="Times New Roman" w:eastAsia="Times New Roman" w:hAnsi="Times New Roman"/>
          <w:sz w:val="20"/>
          <w:szCs w:val="20"/>
          <w:color w:val="231F20"/>
        </w:rPr>
        <w:t>compensation, depreciation, amortization, and depletion. ASU 2024-03 will be effective for fiscal years beginning after December 15, 2026 and interim periods beginning after December 15, 2027. The Company is currently evaluating the impact of this accounting standard on the Company's consolidated financial statements and related disclosures.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2. Revenue Recognition</w:t>
      </w:r>
    </w:p>
    <w:p>
      <w:pPr>
        <w:spacing w:after="0" w:line="12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The Company generates revenue primarily from the sale of products and services. Revenue is recognized when the control of promised goods or services is transferred to customers, in an amount that reflects the consideration to which the Company expects to be entitled to in exchange for those goods or services. Control refers to the ability of the customer to direct the use of, and obtain substantially all of, the remaining benefits from the goods or services.</w:t>
      </w:r>
    </w:p>
    <w:p>
      <w:pPr>
        <w:spacing w:after="0" w:line="1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Net sales by product type and services were as follows (in thousands):</w:t>
      </w:r>
    </w:p>
    <w:p>
      <w:pPr>
        <w:spacing w:after="0" w:line="290"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rPr>
              <w:t>Fiscal years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4"/>
        </w:trPr>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231F20"/>
                <w:w w:val="98"/>
              </w:rPr>
              <w:t>January 31,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February 3,</w:t>
            </w:r>
          </w:p>
        </w:tc>
      </w:tr>
      <w:tr>
        <w:trPr>
          <w:trHeight w:val="203"/>
        </w:trPr>
        <w:tc>
          <w:tcPr>
            <w:tcW w:w="4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center"/>
              <w:ind w:right="29"/>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20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center"/>
              <w:ind w:right="29"/>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center"/>
              <w:ind w:right="9"/>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80" w:type="dxa"/>
            <w:vAlign w:val="bottom"/>
          </w:tcPr>
          <w:p>
            <w:pPr>
              <w:spacing w:after="0"/>
              <w:rPr>
                <w:sz w:val="17"/>
                <w:szCs w:val="17"/>
                <w:color w:val="auto"/>
              </w:rPr>
            </w:pPr>
          </w:p>
        </w:tc>
      </w:tr>
      <w:tr>
        <w:trPr>
          <w:trHeight w:val="193"/>
        </w:trPr>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9"/>
              <w:spacing w:after="0"/>
              <w:rPr>
                <w:sz w:val="20"/>
                <w:szCs w:val="20"/>
                <w:color w:val="auto"/>
              </w:rPr>
            </w:pPr>
            <w:r>
              <w:rPr>
                <w:rFonts w:ascii="Times New Roman" w:cs="Times New Roman" w:eastAsia="Times New Roman" w:hAnsi="Times New Roman"/>
                <w:sz w:val="16"/>
                <w:szCs w:val="16"/>
                <w:b w:val="1"/>
                <w:bCs w:val="1"/>
                <w:color w:val="231F20"/>
              </w:rPr>
              <w:t>(53 weeks)</w:t>
            </w:r>
          </w:p>
        </w:tc>
        <w:tc>
          <w:tcPr>
            <w:tcW w:w="80" w:type="dxa"/>
            <w:vAlign w:val="bottom"/>
          </w:tcPr>
          <w:p>
            <w:pPr>
              <w:spacing w:after="0"/>
              <w:rPr>
                <w:sz w:val="16"/>
                <w:szCs w:val="16"/>
                <w:color w:val="auto"/>
              </w:rPr>
            </w:pPr>
          </w:p>
        </w:tc>
      </w:tr>
      <w:tr>
        <w:trPr>
          <w:trHeight w:val="244"/>
        </w:trPr>
        <w:tc>
          <w:tcPr>
            <w:tcW w:w="48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Consumables</w:t>
            </w:r>
          </w:p>
        </w:tc>
        <w:tc>
          <w:tcPr>
            <w:tcW w:w="1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2,968,321</w:t>
            </w:r>
          </w:p>
        </w:tc>
        <w:tc>
          <w:tcPr>
            <w:tcW w:w="3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3,043,178</w:t>
            </w:r>
          </w:p>
        </w:tc>
        <w:tc>
          <w:tcPr>
            <w:tcW w:w="140" w:type="dxa"/>
            <w:vAlign w:val="bottom"/>
            <w:shd w:val="clear" w:color="auto" w:fill="EAEBEC"/>
          </w:tcPr>
          <w:p>
            <w:pPr>
              <w:spacing w:after="0"/>
              <w:rPr>
                <w:sz w:val="21"/>
                <w:szCs w:val="21"/>
                <w:color w:val="auto"/>
              </w:rPr>
            </w:pPr>
          </w:p>
        </w:tc>
        <w:tc>
          <w:tcPr>
            <w:tcW w:w="1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3,063,845</w:t>
            </w:r>
          </w:p>
        </w:tc>
        <w:tc>
          <w:tcPr>
            <w:tcW w:w="80" w:type="dxa"/>
            <w:vAlign w:val="bottom"/>
            <w:shd w:val="clear" w:color="auto" w:fill="EAEBEC"/>
          </w:tcPr>
          <w:p>
            <w:pPr>
              <w:spacing w:after="0"/>
              <w:rPr>
                <w:sz w:val="21"/>
                <w:szCs w:val="21"/>
                <w:color w:val="auto"/>
              </w:rPr>
            </w:pPr>
          </w:p>
        </w:tc>
      </w:tr>
      <w:tr>
        <w:trPr>
          <w:trHeight w:val="244"/>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231F20"/>
              </w:rPr>
              <w:t>Supplies and companion animals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1,968,002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2,073,713</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2,209,865</w:t>
            </w:r>
          </w:p>
        </w:tc>
        <w:tc>
          <w:tcPr>
            <w:tcW w:w="80" w:type="dxa"/>
            <w:vAlign w:val="bottom"/>
          </w:tcPr>
          <w:p>
            <w:pPr>
              <w:spacing w:after="0"/>
              <w:rPr>
                <w:sz w:val="21"/>
                <w:szCs w:val="21"/>
                <w:color w:val="auto"/>
              </w:rPr>
            </w:pPr>
          </w:p>
        </w:tc>
      </w:tr>
      <w:tr>
        <w:trPr>
          <w:trHeight w:val="244"/>
        </w:trPr>
        <w:tc>
          <w:tcPr>
            <w:tcW w:w="48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Services and other</w:t>
            </w:r>
          </w:p>
        </w:tc>
        <w:tc>
          <w:tcPr>
            <w:tcW w:w="20" w:type="dxa"/>
            <w:vAlign w:val="bottom"/>
            <w:shd w:val="clear" w:color="auto" w:fill="EAEBEC"/>
          </w:tcPr>
          <w:p>
            <w:pPr>
              <w:spacing w:after="0"/>
              <w:rPr>
                <w:sz w:val="21"/>
                <w:szCs w:val="21"/>
                <w:color w:val="auto"/>
              </w:rPr>
            </w:pPr>
          </w:p>
        </w:tc>
        <w:tc>
          <w:tcPr>
            <w:tcW w:w="80" w:type="dxa"/>
            <w:vAlign w:val="bottom"/>
            <w:tcBorders>
              <w:bottom w:val="single" w:sz="8" w:color="231F20"/>
            </w:tcBorders>
            <w:shd w:val="clear" w:color="auto" w:fill="EAEBEC"/>
          </w:tcPr>
          <w:p>
            <w:pPr>
              <w:spacing w:after="0"/>
              <w:rPr>
                <w:sz w:val="21"/>
                <w:szCs w:val="21"/>
                <w:color w:val="auto"/>
              </w:rPr>
            </w:pPr>
          </w:p>
        </w:tc>
        <w:tc>
          <w:tcPr>
            <w:tcW w:w="9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1,025,144</w:t>
            </w:r>
          </w:p>
        </w:tc>
        <w:tc>
          <w:tcPr>
            <w:tcW w:w="200" w:type="dxa"/>
            <w:vAlign w:val="bottom"/>
            <w:shd w:val="clear" w:color="auto" w:fill="EAEBEC"/>
          </w:tcPr>
          <w:p>
            <w:pPr>
              <w:spacing w:after="0"/>
              <w:rPr>
                <w:sz w:val="21"/>
                <w:szCs w:val="21"/>
                <w:color w:val="auto"/>
              </w:rPr>
            </w:pPr>
          </w:p>
        </w:tc>
        <w:tc>
          <w:tcPr>
            <w:tcW w:w="100" w:type="dxa"/>
            <w:vAlign w:val="bottom"/>
            <w:tcBorders>
              <w:bottom w:val="single" w:sz="8" w:color="231F20"/>
            </w:tcBorders>
            <w:shd w:val="clear" w:color="auto" w:fill="EAEBEC"/>
          </w:tcPr>
          <w:p>
            <w:pPr>
              <w:spacing w:after="0"/>
              <w:rPr>
                <w:sz w:val="21"/>
                <w:szCs w:val="21"/>
                <w:color w:val="auto"/>
              </w:rPr>
            </w:pPr>
          </w:p>
        </w:tc>
        <w:tc>
          <w:tcPr>
            <w:tcW w:w="9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999,571</w:t>
            </w:r>
          </w:p>
        </w:tc>
        <w:tc>
          <w:tcPr>
            <w:tcW w:w="140" w:type="dxa"/>
            <w:vAlign w:val="bottom"/>
            <w:shd w:val="clear" w:color="auto" w:fill="EAEBEC"/>
          </w:tcPr>
          <w:p>
            <w:pPr>
              <w:spacing w:after="0"/>
              <w:rPr>
                <w:sz w:val="21"/>
                <w:szCs w:val="21"/>
                <w:color w:val="auto"/>
              </w:rPr>
            </w:pPr>
          </w:p>
        </w:tc>
        <w:tc>
          <w:tcPr>
            <w:tcW w:w="60" w:type="dxa"/>
            <w:vAlign w:val="bottom"/>
            <w:shd w:val="clear" w:color="auto" w:fill="EAEBEC"/>
          </w:tcPr>
          <w:p>
            <w:pPr>
              <w:spacing w:after="0"/>
              <w:rPr>
                <w:sz w:val="21"/>
                <w:szCs w:val="21"/>
                <w:color w:val="auto"/>
              </w:rPr>
            </w:pPr>
          </w:p>
        </w:tc>
        <w:tc>
          <w:tcPr>
            <w:tcW w:w="100" w:type="dxa"/>
            <w:vAlign w:val="bottom"/>
            <w:tcBorders>
              <w:bottom w:val="single" w:sz="8" w:color="231F20"/>
            </w:tcBorders>
            <w:shd w:val="clear" w:color="auto" w:fill="EAEBEC"/>
          </w:tcPr>
          <w:p>
            <w:pPr>
              <w:spacing w:after="0"/>
              <w:rPr>
                <w:sz w:val="21"/>
                <w:szCs w:val="21"/>
                <w:color w:val="auto"/>
              </w:rPr>
            </w:pPr>
          </w:p>
        </w:tc>
        <w:tc>
          <w:tcPr>
            <w:tcW w:w="9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981,574</w:t>
            </w:r>
          </w:p>
        </w:tc>
        <w:tc>
          <w:tcPr>
            <w:tcW w:w="80" w:type="dxa"/>
            <w:vAlign w:val="bottom"/>
            <w:shd w:val="clear" w:color="auto" w:fill="EAEBEC"/>
          </w:tcPr>
          <w:p>
            <w:pPr>
              <w:spacing w:after="0"/>
              <w:rPr>
                <w:sz w:val="21"/>
                <w:szCs w:val="21"/>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231F20"/>
              </w:rPr>
              <w:t>Net sales</w:t>
            </w:r>
          </w:p>
        </w:tc>
        <w:tc>
          <w:tcPr>
            <w:tcW w:w="20" w:type="dxa"/>
            <w:vAlign w:val="bottom"/>
          </w:tcPr>
          <w:p>
            <w:pPr>
              <w:spacing w:after="0"/>
              <w:rPr>
                <w:sz w:val="20"/>
                <w:szCs w:val="20"/>
                <w:color w:val="auto"/>
              </w:rPr>
            </w:pPr>
          </w:p>
        </w:tc>
        <w:tc>
          <w:tcPr>
            <w:tcW w:w="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5,961,467</w:t>
            </w:r>
          </w:p>
        </w:tc>
        <w:tc>
          <w:tcPr>
            <w:tcW w:w="200" w:type="dxa"/>
            <w:vAlign w:val="bottom"/>
          </w:tcPr>
          <w:p>
            <w:pPr>
              <w:spacing w:after="0"/>
              <w:rPr>
                <w:sz w:val="20"/>
                <w:szCs w:val="20"/>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6,116,462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6,255,284</w:t>
            </w:r>
          </w:p>
        </w:tc>
        <w:tc>
          <w:tcPr>
            <w:tcW w:w="80" w:type="dxa"/>
            <w:vAlign w:val="bottom"/>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-1059180</wp:posOffset>
            </wp:positionV>
            <wp:extent cx="230759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2">
                      <a:extLst>
                        <a:ext uri="{28A0092B-C50C-407E-A947-70E740481C1C}"/>
                      </a:extLst>
                    </a:blip>
                    <a:srcRect/>
                    <a:stretch>
                      <a:fillRect/>
                    </a:stretch>
                  </pic:blipFill>
                  <pic:spPr bwMode="auto">
                    <a:xfrm>
                      <a:off x="0" y="0"/>
                      <a:ext cx="2307590" cy="38100"/>
                    </a:xfrm>
                    <a:prstGeom prst="rect">
                      <a:avLst/>
                    </a:prstGeom>
                    <a:noFill/>
                  </pic:spPr>
                </pic:pic>
              </a:graphicData>
            </a:graphic>
          </wp:anchor>
        </w:drawing>
      </w:r>
    </w:p>
    <w:p>
      <w:pPr>
        <w:spacing w:after="0" w:line="276"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31F20"/>
        </w:rPr>
        <w:t>For all contracts with customers, the Company evaluates whether it is the principal (i.e., to report revenue on a gross basis) or agent (i.e., to report revenue on a net basis). Generally, the Company is the principal in its contracts with customers as it controls the related goods or services before they are transferred to the customer.</w:t>
      </w:r>
    </w:p>
    <w:p>
      <w:pPr>
        <w:spacing w:after="0" w:line="18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Revenue from product sales and services is reported net of sales refunds, which includes an estimate of future returns based on historical refund rates, with a corresponding reduction to cost of sales. The Company records a refund liability for sales returns, which is included in accrued expenses and other liabilities, and a corresponding asset for anticipated cost recoveries, which is included in other current assets. The Company’s refund liability and expected cost recoveries were not material as of January 31, 2026 and February 1, 2025. There is inherent judgment in estimating future refunds as they are susceptible to factors outside of the Company’s influence. The Company has significant experience in estimating the amount of refunds based primarily on historical data.</w:t>
      </w:r>
    </w:p>
    <w:p>
      <w:pPr>
        <w:spacing w:after="0" w:line="200"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color w:val="231F20"/>
        </w:rPr>
        <w:t>Revenue is recognized net of applicable sales tax in the consolidated statements of operations. Sales tax liability is included in accrued expenses and other liabilities in the consolidated balance sheets.</w:t>
      </w:r>
    </w:p>
    <w:p>
      <w:pPr>
        <w:spacing w:after="0" w:line="169"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Company’s contract liabilities primarily relate to product merchandise not yet delivered to customers, unredeemed gift cards, services not yet completed, and options that provide a material right to customers, such as its customer loyalty program. Substantially all of the Company’s remaining performance obligations have an original expected duration of one year or less. The Company did not have any material contract assets as of January 31, 2026 and February 1, 2025.</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Product Revenue</w:t>
      </w:r>
    </w:p>
    <w:p>
      <w:pPr>
        <w:spacing w:after="0" w:line="120"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31F20"/>
        </w:rPr>
        <w:t>Product revenue is recognized when control passes, which generally occurs at a point in time when the customer completes a transaction in a pet care center and receives the merchandise. The Company’s payment terms are typically at the point of sale.</w:t>
      </w:r>
    </w:p>
    <w:p>
      <w:pPr>
        <w:spacing w:after="0" w:line="188"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For transactions initiated online, customers choose whether to have it delivered to them (using third-party parcel delivery companies) or to collect their merchandise from one of the Company’s pet care centers (“buy online, pick up in store,” or “BOPUS”). For items delivered directly to the customer, control passes and revenue is recognized when delivery has been completed to the customer, as title has passed and possession has transferred to</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79</w:t>
      </w:r>
    </w:p>
    <w:p>
      <w:pPr>
        <w:sectPr>
          <w:pgSz w:w="11880" w:h="15480" w:orient="portrait"/>
          <w:cols w:equalWidth="0" w:num="1">
            <w:col w:w="9340"/>
          </w:cols>
          <w:pgMar w:left="1260" w:top="1240" w:right="1280" w:bottom="0" w:gutter="0" w:footer="0" w:header="0"/>
          <w:type w:val="continuous"/>
        </w:sectPr>
      </w:pPr>
    </w:p>
    <w:bookmarkStart w:id="89" w:name="page90"/>
    <w:bookmarkEnd w:id="89"/>
    <w:p>
      <w:pPr>
        <w:jc w:val="both"/>
        <w:spacing w:after="0" w:line="252" w:lineRule="auto"/>
        <w:rPr>
          <w:sz w:val="20"/>
          <w:szCs w:val="20"/>
          <w:color w:val="auto"/>
        </w:rPr>
      </w:pPr>
      <w:r>
        <w:rPr>
          <w:rFonts w:ascii="Times New Roman" w:cs="Times New Roman" w:eastAsia="Times New Roman" w:hAnsi="Times New Roman"/>
          <w:sz w:val="20"/>
          <w:szCs w:val="20"/>
          <w:color w:val="231F20"/>
        </w:rPr>
        <w:t>the customer. For BOPUS sales, control passes and revenue is recognized once the customer has taken possession of the merchandise. Any fees charged to customers for delivery (such as shipping and handling) are a component of the transaction price and are recognized when delivery has been completed. The Company uses delivery information to determine when to recognize revenue for products and any related delivery fee revenue.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Service Revenue</w:t>
      </w:r>
    </w:p>
    <w:p>
      <w:pPr>
        <w:spacing w:after="0" w:line="12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The Company recognizes service revenue from pet grooming, veterinary care, and certain other in-store services once the service is completed, as this is when the customer has the ability to direct the use of and obtain the benefits of the service. Payment terms are typically at the point of sale, but may also occur upon completion of the service. The Company’s service contracts are primarily with retail and veterinary customers.</w:t>
      </w:r>
    </w:p>
    <w:p>
      <w:pPr>
        <w:spacing w:after="0" w:line="194"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31F20"/>
        </w:rPr>
        <w:t>The Company recognizes service revenue from dog training packages ratably over the life of the contract, as this pattern best depicts when customers use the services provided and, accordingly, when delivery of the performance obligation occurs.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Gift Cards</w:t>
      </w:r>
    </w:p>
    <w:p>
      <w:pPr>
        <w:spacing w:after="0" w:line="120" w:lineRule="exact"/>
        <w:rPr>
          <w:sz w:val="20"/>
          <w:szCs w:val="20"/>
          <w:color w:val="auto"/>
        </w:rPr>
      </w:pPr>
    </w:p>
    <w:p>
      <w:pPr>
        <w:ind w:right="220" w:firstLine="490"/>
        <w:spacing w:after="0" w:line="247" w:lineRule="auto"/>
        <w:rPr>
          <w:sz w:val="20"/>
          <w:szCs w:val="20"/>
          <w:color w:val="auto"/>
        </w:rPr>
      </w:pPr>
      <w:r>
        <w:rPr>
          <w:rFonts w:ascii="Times New Roman" w:cs="Times New Roman" w:eastAsia="Times New Roman" w:hAnsi="Times New Roman"/>
          <w:sz w:val="20"/>
          <w:szCs w:val="20"/>
          <w:color w:val="231F20"/>
        </w:rPr>
        <w:t>The Company sells its own gift cards to customers in its pet care centers, online, and through select third parties. The Company recognizes revenue from gift cards when gift cards are redeemed by the customer. The Company also recognizes revenue for the portion of gift card values that is not expected to be redeemed (“breakage”). Breakage is estimated based upon historical redemption patterns and other factors, such as laws and regulations applicable to each jurisdiction. There is judgment in assessing redemption patterns and the ultimate value of gift cards that is not expected to be redeemed.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Sales Incentives and Customer Loyalty Program</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Company has a customer loyalty program that allows members to earn points for each qualifying purchase. Points earned enable members to receive a certificate that may be redeemed on future purchases generally within 45 days of the issuance date. The loyalty program points represent customer options that provide a material right and, accordingly, are performance obligations for each applicable contract. The relative standalone selling price of points earned by loyalty program members is deferred and included as part of accrued expenses and other liabilities in the consolidated balance sheets based on the amount of points that are projected to be redeemed, subject to breakage. The Company’s contract liabilities for its customer loyalty program were not material as of January 31, 2026 and February 1, 2025. Revenue is recognized for these performance obligations as actual redemptions occur and the Company updates its estimate of the amount of points that are projected to be redeemed. There is judgment in assessing redemption patterns and the ultimate value of points that is not expected to be redeemed.</w:t>
      </w:r>
    </w:p>
    <w:p>
      <w:pPr>
        <w:spacing w:after="0" w:line="202"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The Company issues coupons that are not earned in conjunction with a purchase of a product or service, typically as part of targeted marketing activities. Additionally, the Company issues coupons in conjunction with the purchase of products or services. However, these coupons typically do not materially exceed the range of discounts given to similar customers and do not confer a material right. In both of these cases, these are not performance obligations and are instead recognized as a reduction of the transaction price when redeemed by the customer.</w:t>
      </w:r>
    </w:p>
    <w:p>
      <w:pPr>
        <w:spacing w:after="0" w:line="197" w:lineRule="exact"/>
        <w:rPr>
          <w:sz w:val="20"/>
          <w:szCs w:val="20"/>
          <w:color w:val="auto"/>
        </w:rPr>
      </w:pPr>
    </w:p>
    <w:p>
      <w:pPr>
        <w:ind w:right="320" w:firstLine="490"/>
        <w:spacing w:after="0" w:line="249" w:lineRule="auto"/>
        <w:rPr>
          <w:sz w:val="20"/>
          <w:szCs w:val="20"/>
          <w:color w:val="auto"/>
        </w:rPr>
      </w:pPr>
      <w:r>
        <w:rPr>
          <w:rFonts w:ascii="Times New Roman" w:cs="Times New Roman" w:eastAsia="Times New Roman" w:hAnsi="Times New Roman"/>
          <w:sz w:val="20"/>
          <w:szCs w:val="20"/>
          <w:color w:val="231F20"/>
        </w:rPr>
        <w:t>The Company sells annual membership plans that include access to benefits such as vet exams, percentage discounts on certain products and services and additional loyalty program points. The Company allocates the transaction price to all performance obligations identified in the contract based on their relative fair values. Performance obligations provided over the term of the contract are recognized as revenue on a usage basis. This involves the estimation of expected usage patterns, primarily derived from historical information.</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3. Acquisitions</w:t>
      </w:r>
    </w:p>
    <w:p>
      <w:pPr>
        <w:spacing w:after="0" w:line="124"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31F20"/>
        </w:rPr>
        <w:t>During fiscal 2023, the Company completed acquisitions of small, regional veterinary businesses for total consideration of approximately $10.0 million. Noncash consideration was not material. Net tangible and identifiable</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80</w:t>
      </w:r>
    </w:p>
    <w:p>
      <w:pPr>
        <w:sectPr>
          <w:pgSz w:w="11880" w:h="15480" w:orient="portrait"/>
          <w:cols w:equalWidth="0" w:num="1">
            <w:col w:w="9340"/>
          </w:cols>
          <w:pgMar w:left="1260" w:top="1240" w:right="1280" w:bottom="0" w:gutter="0" w:footer="0" w:header="0"/>
          <w:type w:val="continuous"/>
        </w:sectPr>
      </w:pPr>
    </w:p>
    <w:bookmarkStart w:id="90" w:name="page91"/>
    <w:bookmarkEnd w:id="90"/>
    <w:p>
      <w:pPr>
        <w:ind w:right="20"/>
        <w:spacing w:after="0" w:line="258" w:lineRule="auto"/>
        <w:rPr>
          <w:sz w:val="20"/>
          <w:szCs w:val="20"/>
          <w:color w:val="auto"/>
        </w:rPr>
      </w:pPr>
      <w:r>
        <w:rPr>
          <w:rFonts w:ascii="Times New Roman" w:cs="Times New Roman" w:eastAsia="Times New Roman" w:hAnsi="Times New Roman"/>
          <w:sz w:val="20"/>
          <w:szCs w:val="20"/>
          <w:color w:val="231F20"/>
        </w:rPr>
        <w:t>intangible assets acquired and liabilities assumed were not material. The acquisitions resulted in the recognition of $10.0 million of goodwill. The tax-deductible portion of goodwill in these acquisitions was $10.0 million. There were no acquisitions of veterinary businesses during fiscal 2024 and fiscal 2025.</w:t>
      </w:r>
    </w:p>
    <w:p>
      <w:pPr>
        <w:spacing w:after="0" w:line="188"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231F20"/>
        </w:rPr>
        <w:t>Pro forma results of operations for the acquisitions have not been presented because they are not material to the consolidated results of operations.</w:t>
      </w:r>
    </w:p>
    <w:p>
      <w:pPr>
        <w:spacing w:after="0" w:line="285" w:lineRule="exact"/>
        <w:rPr>
          <w:sz w:val="20"/>
          <w:szCs w:val="20"/>
          <w:color w:val="auto"/>
        </w:rPr>
      </w:pPr>
    </w:p>
    <w:p>
      <w:pPr>
        <w:ind w:right="5600"/>
        <w:spacing w:after="0" w:line="367" w:lineRule="auto"/>
        <w:tabs>
          <w:tab w:leader="none" w:pos="200" w:val="left"/>
        </w:tabs>
        <w:numPr>
          <w:ilvl w:val="0"/>
          <w:numId w:val="34"/>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Composition of Balance Sheet Accounts </w:t>
      </w:r>
      <w:r>
        <w:rPr>
          <w:rFonts w:ascii="Times New Roman" w:cs="Times New Roman" w:eastAsia="Times New Roman" w:hAnsi="Times New Roman"/>
          <w:sz w:val="20"/>
          <w:szCs w:val="20"/>
          <w:b w:val="1"/>
          <w:bCs w:val="1"/>
          <w:i w:val="1"/>
          <w:iCs w:val="1"/>
          <w:color w:val="231F20"/>
        </w:rPr>
        <w:t>Fixed Assets, Net</w:t>
      </w:r>
    </w:p>
    <w:p>
      <w:pPr>
        <w:ind w:left="500"/>
        <w:spacing w:after="0"/>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color w:val="231F20"/>
        </w:rPr>
        <w:t>Fixed assets, net, consisted of the following (in thousands):</w:t>
      </w:r>
    </w:p>
    <w:p>
      <w:pPr>
        <w:spacing w:after="0" w:line="290"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231F20"/>
                <w:w w:val="98"/>
              </w:rPr>
              <w:t>January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231F20"/>
              </w:rPr>
              <w:t>February 1,</w:t>
            </w:r>
          </w:p>
        </w:tc>
      </w:tr>
      <w:tr>
        <w:trPr>
          <w:trHeight w:val="203"/>
        </w:trPr>
        <w:tc>
          <w:tcPr>
            <w:tcW w:w="5020" w:type="dxa"/>
            <w:vAlign w:val="bottom"/>
            <w:tcBorders>
              <w:bottom w:val="single" w:sz="8" w:color="EAEB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140" w:type="dxa"/>
            <w:vAlign w:val="bottom"/>
            <w:tcBorders>
              <w:bottom w:val="single" w:sz="8" w:color="EAEBEC"/>
            </w:tcBorders>
          </w:tcPr>
          <w:p>
            <w:pPr>
              <w:spacing w:after="0"/>
              <w:rPr>
                <w:sz w:val="17"/>
                <w:szCs w:val="17"/>
                <w:color w:val="auto"/>
              </w:rPr>
            </w:pPr>
          </w:p>
        </w:tc>
        <w:tc>
          <w:tcPr>
            <w:tcW w:w="80" w:type="dxa"/>
            <w:vAlign w:val="bottom"/>
            <w:tcBorders>
              <w:bottom w:val="single" w:sz="8" w:color="EAEBEC"/>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AEBEC"/>
            </w:tcBorders>
          </w:tcPr>
          <w:p>
            <w:pPr>
              <w:spacing w:after="0"/>
              <w:rPr>
                <w:sz w:val="17"/>
                <w:szCs w:val="17"/>
                <w:color w:val="auto"/>
              </w:rPr>
            </w:pPr>
          </w:p>
        </w:tc>
      </w:tr>
      <w:tr>
        <w:trPr>
          <w:trHeight w:val="239"/>
        </w:trPr>
        <w:tc>
          <w:tcPr>
            <w:tcW w:w="50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Equipment</w:t>
            </w: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9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1,116,016</w:t>
            </w:r>
          </w:p>
        </w:tc>
        <w:tc>
          <w:tcPr>
            <w:tcW w:w="140" w:type="dxa"/>
            <w:vAlign w:val="bottom"/>
            <w:shd w:val="clear" w:color="auto" w:fill="EAEBEC"/>
          </w:tcPr>
          <w:p>
            <w:pPr>
              <w:spacing w:after="0"/>
              <w:rPr>
                <w:sz w:val="20"/>
                <w:szCs w:val="20"/>
                <w:color w:val="auto"/>
              </w:rPr>
            </w:pPr>
          </w:p>
        </w:tc>
        <w:tc>
          <w:tcPr>
            <w:tcW w:w="80" w:type="dxa"/>
            <w:vAlign w:val="bottom"/>
            <w:shd w:val="clear" w:color="auto" w:fill="EAEBEC"/>
          </w:tcPr>
          <w:p>
            <w:pPr>
              <w:spacing w:after="0"/>
              <w:rPr>
                <w:sz w:val="20"/>
                <w:szCs w:val="20"/>
                <w:color w:val="auto"/>
              </w:rPr>
            </w:pPr>
          </w:p>
        </w:tc>
        <w:tc>
          <w:tcPr>
            <w:tcW w:w="1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9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1,046,993</w:t>
            </w:r>
          </w:p>
        </w:tc>
        <w:tc>
          <w:tcPr>
            <w:tcW w:w="80" w:type="dxa"/>
            <w:vAlign w:val="bottom"/>
            <w:shd w:val="clear" w:color="auto" w:fill="EAEBEC"/>
          </w:tcPr>
          <w:p>
            <w:pPr>
              <w:spacing w:after="0"/>
              <w:rPr>
                <w:sz w:val="20"/>
                <w:szCs w:val="20"/>
                <w:color w:val="auto"/>
              </w:rPr>
            </w:pPr>
          </w:p>
        </w:tc>
      </w:tr>
      <w:tr>
        <w:trPr>
          <w:trHeight w:val="244"/>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231F20"/>
              </w:rPr>
              <w:t>Leasehold improvements</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813,911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779,757</w:t>
            </w:r>
          </w:p>
        </w:tc>
        <w:tc>
          <w:tcPr>
            <w:tcW w:w="80" w:type="dxa"/>
            <w:vAlign w:val="bottom"/>
          </w:tcPr>
          <w:p>
            <w:pPr>
              <w:spacing w:after="0"/>
              <w:rPr>
                <w:sz w:val="21"/>
                <w:szCs w:val="21"/>
                <w:color w:val="auto"/>
              </w:rPr>
            </w:pPr>
          </w:p>
        </w:tc>
      </w:tr>
      <w:tr>
        <w:trPr>
          <w:trHeight w:val="244"/>
        </w:trPr>
        <w:tc>
          <w:tcPr>
            <w:tcW w:w="50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Furniture and fixtures</w:t>
            </w:r>
          </w:p>
        </w:tc>
        <w:tc>
          <w:tcPr>
            <w:tcW w:w="120" w:type="dxa"/>
            <w:vAlign w:val="bottom"/>
            <w:shd w:val="clear" w:color="auto" w:fill="EAEBEC"/>
          </w:tcPr>
          <w:p>
            <w:pPr>
              <w:spacing w:after="0"/>
              <w:rPr>
                <w:sz w:val="21"/>
                <w:szCs w:val="21"/>
                <w:color w:val="auto"/>
              </w:rPr>
            </w:pPr>
          </w:p>
        </w:tc>
        <w:tc>
          <w:tcPr>
            <w:tcW w:w="9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437,500</w:t>
            </w:r>
          </w:p>
        </w:tc>
        <w:tc>
          <w:tcPr>
            <w:tcW w:w="14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9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426,113</w:t>
            </w:r>
          </w:p>
        </w:tc>
        <w:tc>
          <w:tcPr>
            <w:tcW w:w="80" w:type="dxa"/>
            <w:vAlign w:val="bottom"/>
            <w:shd w:val="clear" w:color="auto" w:fill="EAEBEC"/>
          </w:tcPr>
          <w:p>
            <w:pPr>
              <w:spacing w:after="0"/>
              <w:rPr>
                <w:sz w:val="21"/>
                <w:szCs w:val="21"/>
                <w:color w:val="auto"/>
              </w:rPr>
            </w:pPr>
          </w:p>
        </w:tc>
      </w:tr>
      <w:tr>
        <w:trPr>
          <w:trHeight w:val="244"/>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231F20"/>
              </w:rPr>
              <w:t>Buildings and related improvements</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10,663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12,816</w:t>
            </w:r>
          </w:p>
        </w:tc>
        <w:tc>
          <w:tcPr>
            <w:tcW w:w="80" w:type="dxa"/>
            <w:vAlign w:val="bottom"/>
          </w:tcPr>
          <w:p>
            <w:pPr>
              <w:spacing w:after="0"/>
              <w:rPr>
                <w:sz w:val="21"/>
                <w:szCs w:val="21"/>
                <w:color w:val="auto"/>
              </w:rPr>
            </w:pPr>
          </w:p>
        </w:tc>
      </w:tr>
      <w:tr>
        <w:trPr>
          <w:trHeight w:val="244"/>
        </w:trPr>
        <w:tc>
          <w:tcPr>
            <w:tcW w:w="502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Land</w:t>
            </w:r>
          </w:p>
        </w:tc>
        <w:tc>
          <w:tcPr>
            <w:tcW w:w="120" w:type="dxa"/>
            <w:vAlign w:val="bottom"/>
            <w:tcBorders>
              <w:bottom w:val="single" w:sz="8" w:color="231F20"/>
            </w:tcBorders>
            <w:shd w:val="clear" w:color="auto" w:fill="EAEBEC"/>
          </w:tcPr>
          <w:p>
            <w:pPr>
              <w:spacing w:after="0"/>
              <w:rPr>
                <w:sz w:val="21"/>
                <w:szCs w:val="21"/>
                <w:color w:val="auto"/>
              </w:rPr>
            </w:pPr>
          </w:p>
        </w:tc>
        <w:tc>
          <w:tcPr>
            <w:tcW w:w="9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118</w:t>
            </w:r>
          </w:p>
        </w:tc>
        <w:tc>
          <w:tcPr>
            <w:tcW w:w="140" w:type="dxa"/>
            <w:vAlign w:val="bottom"/>
            <w:tcBorders>
              <w:bottom w:val="single" w:sz="8" w:color="EAEBEC"/>
            </w:tcBorders>
            <w:shd w:val="clear" w:color="auto" w:fill="EAEBEC"/>
          </w:tcPr>
          <w:p>
            <w:pPr>
              <w:spacing w:after="0"/>
              <w:rPr>
                <w:sz w:val="21"/>
                <w:szCs w:val="21"/>
                <w:color w:val="auto"/>
              </w:rPr>
            </w:pPr>
          </w:p>
        </w:tc>
        <w:tc>
          <w:tcPr>
            <w:tcW w:w="80" w:type="dxa"/>
            <w:vAlign w:val="bottom"/>
            <w:tcBorders>
              <w:bottom w:val="single" w:sz="8" w:color="EAEBEC"/>
            </w:tcBorders>
            <w:shd w:val="clear" w:color="auto" w:fill="EAEBEC"/>
          </w:tcPr>
          <w:p>
            <w:pPr>
              <w:spacing w:after="0"/>
              <w:rPr>
                <w:sz w:val="21"/>
                <w:szCs w:val="21"/>
                <w:color w:val="auto"/>
              </w:rPr>
            </w:pPr>
          </w:p>
        </w:tc>
        <w:tc>
          <w:tcPr>
            <w:tcW w:w="100" w:type="dxa"/>
            <w:vAlign w:val="bottom"/>
            <w:tcBorders>
              <w:bottom w:val="single" w:sz="8" w:color="231F20"/>
            </w:tcBorders>
            <w:shd w:val="clear" w:color="auto" w:fill="EAEBEC"/>
          </w:tcPr>
          <w:p>
            <w:pPr>
              <w:spacing w:after="0"/>
              <w:rPr>
                <w:sz w:val="21"/>
                <w:szCs w:val="21"/>
                <w:color w:val="auto"/>
              </w:rPr>
            </w:pPr>
          </w:p>
        </w:tc>
        <w:tc>
          <w:tcPr>
            <w:tcW w:w="9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236</w:t>
            </w:r>
          </w:p>
        </w:tc>
        <w:tc>
          <w:tcPr>
            <w:tcW w:w="80" w:type="dxa"/>
            <w:vAlign w:val="bottom"/>
            <w:tcBorders>
              <w:bottom w:val="single" w:sz="8" w:color="EAEBEC"/>
            </w:tcBorders>
            <w:shd w:val="clear" w:color="auto" w:fill="EAEBEC"/>
          </w:tcPr>
          <w:p>
            <w:pPr>
              <w:spacing w:after="0"/>
              <w:rPr>
                <w:sz w:val="21"/>
                <w:szCs w:val="21"/>
                <w:color w:val="auto"/>
              </w:rPr>
            </w:pPr>
          </w:p>
        </w:tc>
      </w:tr>
      <w:tr>
        <w:trPr>
          <w:trHeight w:val="239"/>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2,378,208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2,265,915</w:t>
            </w:r>
          </w:p>
        </w:tc>
        <w:tc>
          <w:tcPr>
            <w:tcW w:w="80" w:type="dxa"/>
            <w:vAlign w:val="bottom"/>
          </w:tcPr>
          <w:p>
            <w:pPr>
              <w:spacing w:after="0"/>
              <w:rPr>
                <w:sz w:val="20"/>
                <w:szCs w:val="20"/>
                <w:color w:val="auto"/>
              </w:rPr>
            </w:pPr>
          </w:p>
        </w:tc>
      </w:tr>
      <w:tr>
        <w:trPr>
          <w:trHeight w:val="264"/>
        </w:trPr>
        <w:tc>
          <w:tcPr>
            <w:tcW w:w="50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Less accumulated depreciation</w:t>
            </w:r>
          </w:p>
        </w:tc>
        <w:tc>
          <w:tcPr>
            <w:tcW w:w="120" w:type="dxa"/>
            <w:vAlign w:val="bottom"/>
            <w:shd w:val="clear" w:color="auto" w:fill="EAEBEC"/>
          </w:tcPr>
          <w:p>
            <w:pPr>
              <w:spacing w:after="0"/>
              <w:rPr>
                <w:sz w:val="22"/>
                <w:szCs w:val="22"/>
                <w:color w:val="auto"/>
              </w:rPr>
            </w:pPr>
          </w:p>
        </w:tc>
        <w:tc>
          <w:tcPr>
            <w:tcW w:w="1100" w:type="dxa"/>
            <w:vAlign w:val="bottom"/>
            <w:gridSpan w:val="2"/>
            <w:shd w:val="clear" w:color="auto" w:fill="EAEBEC"/>
          </w:tcPr>
          <w:p>
            <w:pPr>
              <w:jc w:val="right"/>
              <w:ind w:right="60"/>
              <w:spacing w:after="0"/>
              <w:rPr>
                <w:sz w:val="20"/>
                <w:szCs w:val="20"/>
                <w:color w:val="auto"/>
              </w:rPr>
            </w:pPr>
            <w:r>
              <w:rPr>
                <w:rFonts w:ascii="Times New Roman" w:cs="Times New Roman" w:eastAsia="Times New Roman" w:hAnsi="Times New Roman"/>
                <w:sz w:val="20"/>
                <w:szCs w:val="20"/>
                <w:color w:val="231F20"/>
              </w:rPr>
              <w:t>(1,722,060)</w:t>
            </w:r>
          </w:p>
        </w:tc>
        <w:tc>
          <w:tcPr>
            <w:tcW w:w="80" w:type="dxa"/>
            <w:vAlign w:val="bottom"/>
            <w:shd w:val="clear" w:color="auto" w:fill="EAEBEC"/>
          </w:tcPr>
          <w:p>
            <w:pPr>
              <w:spacing w:after="0"/>
              <w:rPr>
                <w:sz w:val="22"/>
                <w:szCs w:val="22"/>
                <w:color w:val="auto"/>
              </w:rPr>
            </w:pPr>
          </w:p>
        </w:tc>
        <w:tc>
          <w:tcPr>
            <w:tcW w:w="100" w:type="dxa"/>
            <w:vAlign w:val="bottom"/>
            <w:shd w:val="clear" w:color="auto" w:fill="EAEBEC"/>
          </w:tcPr>
          <w:p>
            <w:pPr>
              <w:spacing w:after="0"/>
              <w:rPr>
                <w:sz w:val="22"/>
                <w:szCs w:val="22"/>
                <w:color w:val="auto"/>
              </w:rPr>
            </w:pPr>
          </w:p>
        </w:tc>
        <w:tc>
          <w:tcPr>
            <w:tcW w:w="106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(1,540,477)</w:t>
            </w:r>
          </w:p>
        </w:tc>
      </w:tr>
      <w:tr>
        <w:trPr>
          <w:trHeight w:val="219"/>
        </w:trPr>
        <w:tc>
          <w:tcPr>
            <w:tcW w:w="5020" w:type="dxa"/>
            <w:vAlign w:val="bottom"/>
            <w:tcBorders>
              <w:top w:val="single" w:sz="8" w:color="EAEBEC"/>
            </w:tcBorders>
          </w:tcPr>
          <w:p>
            <w:pPr>
              <w:spacing w:after="0"/>
              <w:rPr>
                <w:sz w:val="19"/>
                <w:szCs w:val="19"/>
                <w:color w:val="auto"/>
              </w:rPr>
            </w:pPr>
          </w:p>
        </w:tc>
        <w:tc>
          <w:tcPr>
            <w:tcW w:w="12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6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656,148</w:t>
            </w:r>
          </w:p>
        </w:tc>
        <w:tc>
          <w:tcPr>
            <w:tcW w:w="140" w:type="dxa"/>
            <w:vAlign w:val="bottom"/>
            <w:tcBorders>
              <w:top w:val="single" w:sz="8" w:color="EAEBEC"/>
            </w:tcBorders>
          </w:tcPr>
          <w:p>
            <w:pPr>
              <w:spacing w:after="0"/>
              <w:rPr>
                <w:sz w:val="19"/>
                <w:szCs w:val="19"/>
                <w:color w:val="auto"/>
              </w:rPr>
            </w:pPr>
          </w:p>
        </w:tc>
        <w:tc>
          <w:tcPr>
            <w:tcW w:w="80" w:type="dxa"/>
            <w:vAlign w:val="bottom"/>
            <w:tcBorders>
              <w:top w:val="single" w:sz="8" w:color="EAEBEC"/>
            </w:tcBorders>
          </w:tcPr>
          <w:p>
            <w:pPr>
              <w:spacing w:after="0"/>
              <w:rPr>
                <w:sz w:val="19"/>
                <w:szCs w:val="19"/>
                <w:color w:val="auto"/>
              </w:rPr>
            </w:pPr>
          </w:p>
        </w:tc>
        <w:tc>
          <w:tcPr>
            <w:tcW w:w="10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725,438</w:t>
            </w:r>
          </w:p>
        </w:tc>
        <w:tc>
          <w:tcPr>
            <w:tcW w:w="80" w:type="dxa"/>
            <w:vAlign w:val="bottom"/>
            <w:tcBorders>
              <w:top w:val="single" w:sz="8" w:color="EAEBEC"/>
            </w:tcBorders>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Accrued Salaries and Employee Benefits</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Accrued salaries and employee benefits consisted of the following (in thousands):</w:t>
      </w:r>
    </w:p>
    <w:p>
      <w:pPr>
        <w:spacing w:after="0" w:line="277"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47"/>
              <w:spacing w:after="0"/>
              <w:rPr>
                <w:sz w:val="20"/>
                <w:szCs w:val="20"/>
                <w:color w:val="auto"/>
              </w:rPr>
            </w:pPr>
            <w:r>
              <w:rPr>
                <w:rFonts w:ascii="Times New Roman" w:cs="Times New Roman" w:eastAsia="Times New Roman" w:hAnsi="Times New Roman"/>
                <w:sz w:val="16"/>
                <w:szCs w:val="16"/>
                <w:b w:val="1"/>
                <w:bCs w:val="1"/>
                <w:color w:val="231F20"/>
              </w:rPr>
              <w:t>January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67"/>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c>
          <w:tcPr>
            <w:tcW w:w="60" w:type="dxa"/>
            <w:vAlign w:val="bottom"/>
          </w:tcPr>
          <w:p>
            <w:pPr>
              <w:spacing w:after="0"/>
              <w:rPr>
                <w:sz w:val="16"/>
                <w:szCs w:val="16"/>
                <w:color w:val="auto"/>
              </w:rPr>
            </w:pPr>
          </w:p>
        </w:tc>
      </w:tr>
      <w:tr>
        <w:trPr>
          <w:trHeight w:val="203"/>
        </w:trPr>
        <w:tc>
          <w:tcPr>
            <w:tcW w:w="5020" w:type="dxa"/>
            <w:vAlign w:val="bottom"/>
            <w:tcBorders>
              <w:bottom w:val="single" w:sz="8" w:color="EAEB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200" w:type="dxa"/>
            <w:vAlign w:val="bottom"/>
            <w:tcBorders>
              <w:bottom w:val="single" w:sz="8" w:color="EAEB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0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AEBEC"/>
            </w:tcBorders>
          </w:tcPr>
          <w:p>
            <w:pPr>
              <w:spacing w:after="0"/>
              <w:rPr>
                <w:sz w:val="17"/>
                <w:szCs w:val="17"/>
                <w:color w:val="auto"/>
              </w:rPr>
            </w:pPr>
          </w:p>
        </w:tc>
      </w:tr>
      <w:tr>
        <w:trPr>
          <w:trHeight w:val="239"/>
        </w:trPr>
        <w:tc>
          <w:tcPr>
            <w:tcW w:w="50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Accrued compensation and related taxes</w:t>
            </w: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90,821</w:t>
            </w:r>
          </w:p>
        </w:tc>
        <w:tc>
          <w:tcPr>
            <w:tcW w:w="200" w:type="dxa"/>
            <w:vAlign w:val="bottom"/>
            <w:shd w:val="clear" w:color="auto" w:fill="EAEBEC"/>
          </w:tcPr>
          <w:p>
            <w:pPr>
              <w:spacing w:after="0"/>
              <w:rPr>
                <w:sz w:val="20"/>
                <w:szCs w:val="20"/>
                <w:color w:val="auto"/>
              </w:rPr>
            </w:pP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9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101,548</w:t>
            </w:r>
          </w:p>
        </w:tc>
        <w:tc>
          <w:tcPr>
            <w:tcW w:w="60" w:type="dxa"/>
            <w:vAlign w:val="bottom"/>
            <w:shd w:val="clear" w:color="auto" w:fill="EAEBEC"/>
          </w:tcPr>
          <w:p>
            <w:pPr>
              <w:spacing w:after="0"/>
              <w:rPr>
                <w:sz w:val="20"/>
                <w:szCs w:val="20"/>
                <w:color w:val="auto"/>
              </w:rPr>
            </w:pPr>
          </w:p>
        </w:tc>
      </w:tr>
      <w:tr>
        <w:trPr>
          <w:trHeight w:val="244"/>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231F20"/>
              </w:rPr>
              <w:t>Self-insurance reserves</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39,634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33,564</w:t>
            </w:r>
          </w:p>
        </w:tc>
        <w:tc>
          <w:tcPr>
            <w:tcW w:w="60" w:type="dxa"/>
            <w:vAlign w:val="bottom"/>
          </w:tcPr>
          <w:p>
            <w:pPr>
              <w:spacing w:after="0"/>
              <w:rPr>
                <w:sz w:val="21"/>
                <w:szCs w:val="21"/>
                <w:color w:val="auto"/>
              </w:rPr>
            </w:pPr>
          </w:p>
        </w:tc>
      </w:tr>
      <w:tr>
        <w:trPr>
          <w:trHeight w:val="264"/>
        </w:trPr>
        <w:tc>
          <w:tcPr>
            <w:tcW w:w="502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Accrued paid time-off</w:t>
            </w:r>
          </w:p>
        </w:tc>
        <w:tc>
          <w:tcPr>
            <w:tcW w:w="120" w:type="dxa"/>
            <w:vAlign w:val="bottom"/>
            <w:tcBorders>
              <w:bottom w:val="single" w:sz="8" w:color="231F20"/>
            </w:tcBorders>
            <w:shd w:val="clear" w:color="auto" w:fill="EAEBEC"/>
          </w:tcPr>
          <w:p>
            <w:pPr>
              <w:spacing w:after="0"/>
              <w:rPr>
                <w:sz w:val="22"/>
                <w:szCs w:val="22"/>
                <w:color w:val="auto"/>
              </w:rPr>
            </w:pPr>
          </w:p>
        </w:tc>
        <w:tc>
          <w:tcPr>
            <w:tcW w:w="9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23,693</w:t>
            </w:r>
          </w:p>
        </w:tc>
        <w:tc>
          <w:tcPr>
            <w:tcW w:w="200" w:type="dxa"/>
            <w:vAlign w:val="bottom"/>
            <w:tcBorders>
              <w:bottom w:val="single" w:sz="8" w:color="EAEBEC"/>
            </w:tcBorders>
            <w:shd w:val="clear" w:color="auto" w:fill="EAEBEC"/>
          </w:tcPr>
          <w:p>
            <w:pPr>
              <w:spacing w:after="0"/>
              <w:rPr>
                <w:sz w:val="22"/>
                <w:szCs w:val="22"/>
                <w:color w:val="auto"/>
              </w:rPr>
            </w:pPr>
          </w:p>
        </w:tc>
        <w:tc>
          <w:tcPr>
            <w:tcW w:w="120" w:type="dxa"/>
            <w:vAlign w:val="bottom"/>
            <w:tcBorders>
              <w:bottom w:val="single" w:sz="8" w:color="231F20"/>
            </w:tcBorders>
            <w:shd w:val="clear" w:color="auto" w:fill="EAEBEC"/>
          </w:tcPr>
          <w:p>
            <w:pPr>
              <w:spacing w:after="0"/>
              <w:rPr>
                <w:sz w:val="22"/>
                <w:szCs w:val="22"/>
                <w:color w:val="auto"/>
              </w:rPr>
            </w:pPr>
          </w:p>
        </w:tc>
        <w:tc>
          <w:tcPr>
            <w:tcW w:w="9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22,348</w:t>
            </w:r>
          </w:p>
        </w:tc>
        <w:tc>
          <w:tcPr>
            <w:tcW w:w="60" w:type="dxa"/>
            <w:vAlign w:val="bottom"/>
            <w:tcBorders>
              <w:bottom w:val="single" w:sz="8" w:color="EAEBEC"/>
            </w:tcBorders>
            <w:shd w:val="clear" w:color="auto" w:fill="EAEBEC"/>
          </w:tcPr>
          <w:p>
            <w:pPr>
              <w:spacing w:after="0"/>
              <w:rPr>
                <w:sz w:val="22"/>
                <w:szCs w:val="22"/>
                <w:color w:val="auto"/>
              </w:rPr>
            </w:pPr>
          </w:p>
        </w:tc>
      </w:tr>
      <w:tr>
        <w:trPr>
          <w:trHeight w:val="219"/>
        </w:trPr>
        <w:tc>
          <w:tcPr>
            <w:tcW w:w="502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154,148</w:t>
            </w:r>
          </w:p>
        </w:tc>
        <w:tc>
          <w:tcPr>
            <w:tcW w:w="200" w:type="dxa"/>
            <w:vAlign w:val="bottom"/>
          </w:tcPr>
          <w:p>
            <w:pPr>
              <w:spacing w:after="0"/>
              <w:rPr>
                <w:sz w:val="19"/>
                <w:szCs w:val="19"/>
                <w:color w:val="auto"/>
              </w:rPr>
            </w:pPr>
          </w:p>
        </w:tc>
        <w:tc>
          <w:tcPr>
            <w:tcW w:w="12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157,460</w:t>
            </w:r>
          </w:p>
        </w:tc>
        <w:tc>
          <w:tcPr>
            <w:tcW w:w="6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Accrued Expenses and Other Liabilities</w:t>
      </w:r>
    </w:p>
    <w:p>
      <w:pPr>
        <w:spacing w:after="0" w:line="1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Accrued expenses and other liabilities consisted of the following (in thousands):</w:t>
      </w:r>
    </w:p>
    <w:p>
      <w:pPr>
        <w:spacing w:after="0" w:line="277"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44"/>
              <w:spacing w:after="0"/>
              <w:rPr>
                <w:sz w:val="20"/>
                <w:szCs w:val="20"/>
                <w:color w:val="auto"/>
              </w:rPr>
            </w:pPr>
            <w:r>
              <w:rPr>
                <w:rFonts w:ascii="Times New Roman" w:cs="Times New Roman" w:eastAsia="Times New Roman" w:hAnsi="Times New Roman"/>
                <w:sz w:val="16"/>
                <w:szCs w:val="16"/>
                <w:b w:val="1"/>
                <w:bCs w:val="1"/>
                <w:color w:val="231F20"/>
              </w:rPr>
              <w:t>January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c>
          <w:tcPr>
            <w:tcW w:w="60" w:type="dxa"/>
            <w:vAlign w:val="bottom"/>
          </w:tcPr>
          <w:p>
            <w:pPr>
              <w:spacing w:after="0"/>
              <w:rPr>
                <w:sz w:val="16"/>
                <w:szCs w:val="16"/>
                <w:color w:val="auto"/>
              </w:rPr>
            </w:pPr>
          </w:p>
        </w:tc>
      </w:tr>
      <w:tr>
        <w:trPr>
          <w:trHeight w:val="203"/>
        </w:trPr>
        <w:tc>
          <w:tcPr>
            <w:tcW w:w="5020" w:type="dxa"/>
            <w:vAlign w:val="bottom"/>
            <w:tcBorders>
              <w:bottom w:val="single" w:sz="8" w:color="EAEB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200" w:type="dxa"/>
            <w:vAlign w:val="bottom"/>
            <w:tcBorders>
              <w:bottom w:val="single" w:sz="8" w:color="EAEB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AEBEC"/>
            </w:tcBorders>
          </w:tcPr>
          <w:p>
            <w:pPr>
              <w:spacing w:after="0"/>
              <w:rPr>
                <w:sz w:val="17"/>
                <w:szCs w:val="17"/>
                <w:color w:val="auto"/>
              </w:rPr>
            </w:pPr>
          </w:p>
        </w:tc>
      </w:tr>
      <w:tr>
        <w:trPr>
          <w:trHeight w:val="239"/>
        </w:trPr>
        <w:tc>
          <w:tcPr>
            <w:tcW w:w="50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Deferred revenue</w:t>
            </w: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31,446</w:t>
            </w:r>
          </w:p>
        </w:tc>
        <w:tc>
          <w:tcPr>
            <w:tcW w:w="200" w:type="dxa"/>
            <w:vAlign w:val="bottom"/>
            <w:shd w:val="clear" w:color="auto" w:fill="EAEBEC"/>
          </w:tcPr>
          <w:p>
            <w:pPr>
              <w:spacing w:after="0"/>
              <w:rPr>
                <w:sz w:val="20"/>
                <w:szCs w:val="20"/>
                <w:color w:val="auto"/>
              </w:rPr>
            </w:pP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29,564</w:t>
            </w:r>
          </w:p>
        </w:tc>
        <w:tc>
          <w:tcPr>
            <w:tcW w:w="60" w:type="dxa"/>
            <w:vAlign w:val="bottom"/>
            <w:shd w:val="clear" w:color="auto" w:fill="EAEBEC"/>
          </w:tcPr>
          <w:p>
            <w:pPr>
              <w:spacing w:after="0"/>
              <w:rPr>
                <w:sz w:val="20"/>
                <w:szCs w:val="20"/>
                <w:color w:val="auto"/>
              </w:rPr>
            </w:pPr>
          </w:p>
        </w:tc>
      </w:tr>
      <w:tr>
        <w:trPr>
          <w:trHeight w:val="244"/>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231F20"/>
              </w:rPr>
              <w:t>Accrued real estate taxes</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28,059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28,079</w:t>
            </w:r>
          </w:p>
        </w:tc>
        <w:tc>
          <w:tcPr>
            <w:tcW w:w="60" w:type="dxa"/>
            <w:vAlign w:val="bottom"/>
          </w:tcPr>
          <w:p>
            <w:pPr>
              <w:spacing w:after="0"/>
              <w:rPr>
                <w:sz w:val="21"/>
                <w:szCs w:val="21"/>
                <w:color w:val="auto"/>
              </w:rPr>
            </w:pPr>
          </w:p>
        </w:tc>
      </w:tr>
      <w:tr>
        <w:trPr>
          <w:trHeight w:val="244"/>
        </w:trPr>
        <w:tc>
          <w:tcPr>
            <w:tcW w:w="50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Sales taxes payable</w:t>
            </w:r>
          </w:p>
        </w:tc>
        <w:tc>
          <w:tcPr>
            <w:tcW w:w="120" w:type="dxa"/>
            <w:vAlign w:val="bottom"/>
            <w:shd w:val="clear" w:color="auto" w:fill="EAEBEC"/>
          </w:tcPr>
          <w:p>
            <w:pPr>
              <w:spacing w:after="0"/>
              <w:rPr>
                <w:sz w:val="21"/>
                <w:szCs w:val="21"/>
                <w:color w:val="auto"/>
              </w:rPr>
            </w:pPr>
          </w:p>
        </w:tc>
        <w:tc>
          <w:tcPr>
            <w:tcW w:w="9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19,969</w:t>
            </w:r>
          </w:p>
        </w:tc>
        <w:tc>
          <w:tcPr>
            <w:tcW w:w="20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9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15,883</w:t>
            </w:r>
          </w:p>
        </w:tc>
        <w:tc>
          <w:tcPr>
            <w:tcW w:w="60" w:type="dxa"/>
            <w:vAlign w:val="bottom"/>
            <w:shd w:val="clear" w:color="auto" w:fill="EAEBEC"/>
          </w:tcPr>
          <w:p>
            <w:pPr>
              <w:spacing w:after="0"/>
              <w:rPr>
                <w:sz w:val="21"/>
                <w:szCs w:val="21"/>
                <w:color w:val="auto"/>
              </w:rPr>
            </w:pPr>
          </w:p>
        </w:tc>
      </w:tr>
      <w:tr>
        <w:trPr>
          <w:trHeight w:val="244"/>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231F20"/>
              </w:rPr>
              <w:t>Accrued advertising</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19,230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12,844</w:t>
            </w:r>
          </w:p>
        </w:tc>
        <w:tc>
          <w:tcPr>
            <w:tcW w:w="60" w:type="dxa"/>
            <w:vAlign w:val="bottom"/>
          </w:tcPr>
          <w:p>
            <w:pPr>
              <w:spacing w:after="0"/>
              <w:rPr>
                <w:sz w:val="21"/>
                <w:szCs w:val="21"/>
                <w:color w:val="auto"/>
              </w:rPr>
            </w:pPr>
          </w:p>
        </w:tc>
      </w:tr>
      <w:tr>
        <w:trPr>
          <w:trHeight w:val="244"/>
        </w:trPr>
        <w:tc>
          <w:tcPr>
            <w:tcW w:w="50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Accrued capital expenditures</w:t>
            </w:r>
          </w:p>
        </w:tc>
        <w:tc>
          <w:tcPr>
            <w:tcW w:w="120" w:type="dxa"/>
            <w:vAlign w:val="bottom"/>
            <w:shd w:val="clear" w:color="auto" w:fill="EAEBEC"/>
          </w:tcPr>
          <w:p>
            <w:pPr>
              <w:spacing w:after="0"/>
              <w:rPr>
                <w:sz w:val="21"/>
                <w:szCs w:val="21"/>
                <w:color w:val="auto"/>
              </w:rPr>
            </w:pPr>
          </w:p>
        </w:tc>
        <w:tc>
          <w:tcPr>
            <w:tcW w:w="9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15,714</w:t>
            </w:r>
          </w:p>
        </w:tc>
        <w:tc>
          <w:tcPr>
            <w:tcW w:w="20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9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12,268</w:t>
            </w:r>
          </w:p>
        </w:tc>
        <w:tc>
          <w:tcPr>
            <w:tcW w:w="60" w:type="dxa"/>
            <w:vAlign w:val="bottom"/>
            <w:shd w:val="clear" w:color="auto" w:fill="EAEBEC"/>
          </w:tcPr>
          <w:p>
            <w:pPr>
              <w:spacing w:after="0"/>
              <w:rPr>
                <w:sz w:val="21"/>
                <w:szCs w:val="21"/>
                <w:color w:val="auto"/>
              </w:rPr>
            </w:pPr>
          </w:p>
        </w:tc>
      </w:tr>
      <w:tr>
        <w:trPr>
          <w:trHeight w:val="244"/>
        </w:trPr>
        <w:tc>
          <w:tcPr>
            <w:tcW w:w="502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Other accrued expenses and liabilities</w:t>
            </w:r>
          </w:p>
        </w:tc>
        <w:tc>
          <w:tcPr>
            <w:tcW w:w="12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90,333</w:t>
            </w:r>
          </w:p>
        </w:tc>
        <w:tc>
          <w:tcPr>
            <w:tcW w:w="200" w:type="dxa"/>
            <w:vAlign w:val="bottom"/>
            <w:tcBorders>
              <w:bottom w:val="single" w:sz="8" w:color="EAEBEC"/>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78,441</w:t>
            </w:r>
          </w:p>
        </w:tc>
        <w:tc>
          <w:tcPr>
            <w:tcW w:w="60" w:type="dxa"/>
            <w:vAlign w:val="bottom"/>
            <w:tcBorders>
              <w:bottom w:val="single" w:sz="8" w:color="EAEBEC"/>
            </w:tcBorders>
          </w:tcPr>
          <w:p>
            <w:pPr>
              <w:spacing w:after="0"/>
              <w:rPr>
                <w:sz w:val="21"/>
                <w:szCs w:val="21"/>
                <w:color w:val="auto"/>
              </w:rPr>
            </w:pPr>
          </w:p>
        </w:tc>
      </w:tr>
      <w:tr>
        <w:trPr>
          <w:trHeight w:val="259"/>
        </w:trPr>
        <w:tc>
          <w:tcPr>
            <w:tcW w:w="5020" w:type="dxa"/>
            <w:vAlign w:val="bottom"/>
            <w:tcBorders>
              <w:bottom w:val="single" w:sz="8" w:color="EAEBEC"/>
            </w:tcBorders>
            <w:shd w:val="clear" w:color="auto" w:fill="EAEBEC"/>
          </w:tcPr>
          <w:p>
            <w:pPr>
              <w:spacing w:after="0"/>
              <w:rPr>
                <w:sz w:val="22"/>
                <w:szCs w:val="22"/>
                <w:color w:val="auto"/>
              </w:rPr>
            </w:pPr>
          </w:p>
        </w:tc>
        <w:tc>
          <w:tcPr>
            <w:tcW w:w="1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9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204,751</w:t>
            </w:r>
          </w:p>
        </w:tc>
        <w:tc>
          <w:tcPr>
            <w:tcW w:w="200" w:type="dxa"/>
            <w:vAlign w:val="bottom"/>
            <w:tcBorders>
              <w:bottom w:val="single" w:sz="8" w:color="EAEBEC"/>
            </w:tcBorders>
            <w:shd w:val="clear" w:color="auto" w:fill="EAEBEC"/>
          </w:tcPr>
          <w:p>
            <w:pPr>
              <w:spacing w:after="0"/>
              <w:rPr>
                <w:sz w:val="22"/>
                <w:szCs w:val="22"/>
                <w:color w:val="auto"/>
              </w:rPr>
            </w:pPr>
          </w:p>
        </w:tc>
        <w:tc>
          <w:tcPr>
            <w:tcW w:w="1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9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177,079</w:t>
            </w:r>
          </w:p>
        </w:tc>
        <w:tc>
          <w:tcPr>
            <w:tcW w:w="60" w:type="dxa"/>
            <w:vAlign w:val="bottom"/>
            <w:tcBorders>
              <w:bottom w:val="single" w:sz="8" w:color="EAEBEC"/>
            </w:tcBorders>
            <w:shd w:val="clear" w:color="auto" w:fill="EAEBEC"/>
          </w:tcPr>
          <w:p>
            <w:pPr>
              <w:spacing w:after="0"/>
              <w:rPr>
                <w:sz w:val="22"/>
                <w:szCs w:val="22"/>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80"/>
          </w:cols>
          <w:pgMar w:left="1260" w:top="12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231F20"/>
        </w:rPr>
        <w:t>81</w:t>
      </w:r>
    </w:p>
    <w:p>
      <w:pPr>
        <w:sectPr>
          <w:pgSz w:w="11880" w:h="15480" w:orient="portrait"/>
          <w:cols w:equalWidth="0" w:num="1">
            <w:col w:w="9180"/>
          </w:cols>
          <w:pgMar w:left="1260" w:top="1240" w:right="1440" w:bottom="0" w:gutter="0" w:footer="0" w:header="0"/>
          <w:type w:val="continuous"/>
        </w:sectPr>
      </w:pPr>
    </w:p>
    <w:bookmarkStart w:id="91" w:name="page92"/>
    <w:bookmarkEnd w:id="91"/>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Other Long-Term Liabilities</w:t>
      </w:r>
    </w:p>
    <w:p>
      <w:pPr>
        <w:spacing w:after="0" w:line="1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Other long-term liabilities consisted of the following (in thousands):</w:t>
      </w:r>
    </w:p>
    <w:p>
      <w:pPr>
        <w:spacing w:after="0" w:line="277"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6"/>
                <w:szCs w:val="16"/>
                <w:b w:val="1"/>
                <w:bCs w:val="1"/>
                <w:color w:val="231F20"/>
              </w:rPr>
              <w:t>January 31,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c>
          <w:tcPr>
            <w:tcW w:w="60" w:type="dxa"/>
            <w:vAlign w:val="bottom"/>
          </w:tcPr>
          <w:p>
            <w:pPr>
              <w:spacing w:after="0"/>
              <w:rPr>
                <w:sz w:val="16"/>
                <w:szCs w:val="16"/>
                <w:color w:val="auto"/>
              </w:rPr>
            </w:pPr>
          </w:p>
        </w:tc>
      </w:tr>
      <w:tr>
        <w:trPr>
          <w:trHeight w:val="203"/>
        </w:trPr>
        <w:tc>
          <w:tcPr>
            <w:tcW w:w="5020" w:type="dxa"/>
            <w:vAlign w:val="bottom"/>
            <w:tcBorders>
              <w:bottom w:val="single" w:sz="8" w:color="EAEBEC"/>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200" w:type="dxa"/>
            <w:vAlign w:val="bottom"/>
            <w:tcBorders>
              <w:bottom w:val="single" w:sz="8" w:color="EAEBEC"/>
            </w:tcBorders>
          </w:tcPr>
          <w:p>
            <w:pPr>
              <w:spacing w:after="0"/>
              <w:rPr>
                <w:sz w:val="17"/>
                <w:szCs w:val="17"/>
                <w:color w:val="auto"/>
              </w:rPr>
            </w:pPr>
          </w:p>
        </w:tc>
        <w:tc>
          <w:tcPr>
            <w:tcW w:w="20" w:type="dxa"/>
            <w:vAlign w:val="bottom"/>
            <w:tcBorders>
              <w:bottom w:val="single" w:sz="8" w:color="EAEBEC"/>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AEBEC"/>
            </w:tcBorders>
          </w:tcPr>
          <w:p>
            <w:pPr>
              <w:spacing w:after="0"/>
              <w:rPr>
                <w:sz w:val="17"/>
                <w:szCs w:val="17"/>
                <w:color w:val="auto"/>
              </w:rPr>
            </w:pPr>
          </w:p>
        </w:tc>
      </w:tr>
      <w:tr>
        <w:trPr>
          <w:trHeight w:val="239"/>
        </w:trPr>
        <w:tc>
          <w:tcPr>
            <w:tcW w:w="50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Self-insurance reserves</w:t>
            </w:r>
          </w:p>
        </w:tc>
        <w:tc>
          <w:tcPr>
            <w:tcW w:w="20" w:type="dxa"/>
            <w:vAlign w:val="bottom"/>
          </w:tcPr>
          <w:p>
            <w:pPr>
              <w:spacing w:after="0"/>
              <w:rPr>
                <w:sz w:val="20"/>
                <w:szCs w:val="20"/>
                <w:color w:val="auto"/>
              </w:rPr>
            </w:pPr>
          </w:p>
        </w:tc>
        <w:tc>
          <w:tcPr>
            <w:tcW w:w="1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48,280</w:t>
            </w:r>
          </w:p>
        </w:tc>
        <w:tc>
          <w:tcPr>
            <w:tcW w:w="200" w:type="dxa"/>
            <w:vAlign w:val="bottom"/>
            <w:shd w:val="clear" w:color="auto" w:fill="EAEBEC"/>
          </w:tcPr>
          <w:p>
            <w:pPr>
              <w:spacing w:after="0"/>
              <w:rPr>
                <w:sz w:val="20"/>
                <w:szCs w:val="20"/>
                <w:color w:val="auto"/>
              </w:rPr>
            </w:pPr>
          </w:p>
        </w:tc>
        <w:tc>
          <w:tcPr>
            <w:tcW w:w="20" w:type="dxa"/>
            <w:vAlign w:val="bottom"/>
            <w:shd w:val="clear" w:color="auto" w:fill="EAEBEC"/>
          </w:tcPr>
          <w:p>
            <w:pPr>
              <w:spacing w:after="0"/>
              <w:rPr>
                <w:sz w:val="20"/>
                <w:szCs w:val="20"/>
                <w:color w:val="auto"/>
              </w:rPr>
            </w:pPr>
          </w:p>
        </w:tc>
        <w:tc>
          <w:tcPr>
            <w:tcW w:w="1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50,803</w:t>
            </w:r>
          </w:p>
        </w:tc>
        <w:tc>
          <w:tcPr>
            <w:tcW w:w="60" w:type="dxa"/>
            <w:vAlign w:val="bottom"/>
            <w:shd w:val="clear" w:color="auto" w:fill="EAEBEC"/>
          </w:tcPr>
          <w:p>
            <w:pPr>
              <w:spacing w:after="0"/>
              <w:rPr>
                <w:sz w:val="20"/>
                <w:szCs w:val="20"/>
                <w:color w:val="auto"/>
              </w:rPr>
            </w:pPr>
          </w:p>
        </w:tc>
      </w:tr>
      <w:tr>
        <w:trPr>
          <w:trHeight w:val="244"/>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231F20"/>
              </w:rPr>
              <w:t>Other liabilities</w:t>
            </w:r>
          </w:p>
        </w:tc>
        <w:tc>
          <w:tcPr>
            <w:tcW w:w="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56,127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57,825</w:t>
            </w:r>
          </w:p>
        </w:tc>
        <w:tc>
          <w:tcPr>
            <w:tcW w:w="60" w:type="dxa"/>
            <w:vAlign w:val="bottom"/>
          </w:tcPr>
          <w:p>
            <w:pPr>
              <w:spacing w:after="0"/>
              <w:rPr>
                <w:sz w:val="21"/>
                <w:szCs w:val="21"/>
                <w:color w:val="auto"/>
              </w:rPr>
            </w:pPr>
          </w:p>
        </w:tc>
      </w:tr>
      <w:tr>
        <w:trPr>
          <w:trHeight w:val="239"/>
        </w:trPr>
        <w:tc>
          <w:tcPr>
            <w:tcW w:w="50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104,407</w:t>
            </w:r>
          </w:p>
        </w:tc>
        <w:tc>
          <w:tcPr>
            <w:tcW w:w="20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108,628</w:t>
            </w:r>
          </w:p>
        </w:tc>
        <w:tc>
          <w:tcPr>
            <w:tcW w:w="60" w:type="dxa"/>
            <w:vAlign w:val="bottom"/>
          </w:tcPr>
          <w:p>
            <w:pPr>
              <w:spacing w:after="0"/>
              <w:rPr>
                <w:sz w:val="20"/>
                <w:szCs w:val="20"/>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5. Leases</w:t>
      </w:r>
    </w:p>
    <w:p>
      <w:pPr>
        <w:spacing w:after="0" w:line="114" w:lineRule="exact"/>
        <w:rPr>
          <w:sz w:val="20"/>
          <w:szCs w:val="20"/>
          <w:color w:val="auto"/>
        </w:rPr>
      </w:pPr>
    </w:p>
    <w:p>
      <w:pPr>
        <w:ind w:right="840" w:firstLine="490"/>
        <w:spacing w:after="0" w:line="267" w:lineRule="auto"/>
        <w:rPr>
          <w:sz w:val="20"/>
          <w:szCs w:val="20"/>
          <w:color w:val="auto"/>
        </w:rPr>
      </w:pPr>
      <w:r>
        <w:rPr>
          <w:rFonts w:ascii="Times New Roman" w:cs="Times New Roman" w:eastAsia="Times New Roman" w:hAnsi="Times New Roman"/>
          <w:sz w:val="20"/>
          <w:szCs w:val="20"/>
          <w:color w:val="231F20"/>
        </w:rPr>
        <w:t>Lease assets and liabilities are reflected in the Company’s consolidated balance sheets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20" w:type="dxa"/>
            <w:vAlign w:val="bottom"/>
          </w:tcPr>
          <w:p>
            <w:pPr>
              <w:ind w:left="1500"/>
              <w:spacing w:after="0"/>
              <w:rPr>
                <w:sz w:val="20"/>
                <w:szCs w:val="20"/>
                <w:color w:val="auto"/>
              </w:rPr>
            </w:pPr>
            <w:r>
              <w:rPr>
                <w:rFonts w:ascii="Times New Roman" w:cs="Times New Roman" w:eastAsia="Times New Roman" w:hAnsi="Times New Roman"/>
                <w:sz w:val="16"/>
                <w:szCs w:val="16"/>
                <w:b w:val="1"/>
                <w:bCs w:val="1"/>
                <w:color w:val="231F20"/>
              </w:rPr>
              <w:t>Balance sheet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84"/>
              <w:spacing w:after="0"/>
              <w:rPr>
                <w:sz w:val="20"/>
                <w:szCs w:val="20"/>
                <w:color w:val="auto"/>
              </w:rPr>
            </w:pPr>
            <w:r>
              <w:rPr>
                <w:rFonts w:ascii="Times New Roman" w:cs="Times New Roman" w:eastAsia="Times New Roman" w:hAnsi="Times New Roman"/>
                <w:sz w:val="16"/>
                <w:szCs w:val="16"/>
                <w:b w:val="1"/>
                <w:bCs w:val="1"/>
                <w:color w:val="231F20"/>
              </w:rPr>
              <w:t>January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64"/>
              <w:spacing w:after="0"/>
              <w:rPr>
                <w:sz w:val="20"/>
                <w:szCs w:val="20"/>
                <w:color w:val="auto"/>
              </w:rPr>
            </w:pPr>
            <w:r>
              <w:rPr>
                <w:rFonts w:ascii="Times New Roman" w:cs="Times New Roman" w:eastAsia="Times New Roman" w:hAnsi="Times New Roman"/>
                <w:sz w:val="16"/>
                <w:szCs w:val="16"/>
                <w:b w:val="1"/>
                <w:bCs w:val="1"/>
                <w:color w:val="231F20"/>
              </w:rPr>
              <w:t>February 1,</w:t>
            </w:r>
          </w:p>
        </w:tc>
        <w:tc>
          <w:tcPr>
            <w:tcW w:w="60" w:type="dxa"/>
            <w:vAlign w:val="bottom"/>
          </w:tcPr>
          <w:p>
            <w:pPr>
              <w:spacing w:after="0"/>
              <w:rPr>
                <w:sz w:val="16"/>
                <w:szCs w:val="16"/>
                <w:color w:val="auto"/>
              </w:rPr>
            </w:pPr>
          </w:p>
        </w:tc>
      </w:tr>
      <w:tr>
        <w:trPr>
          <w:trHeight w:val="203"/>
        </w:trPr>
        <w:tc>
          <w:tcPr>
            <w:tcW w:w="22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Leases</w:t>
            </w:r>
          </w:p>
        </w:tc>
        <w:tc>
          <w:tcPr>
            <w:tcW w:w="140" w:type="dxa"/>
            <w:vAlign w:val="bottom"/>
            <w:tcBorders>
              <w:bottom w:val="single" w:sz="8" w:color="EAEBEC"/>
            </w:tcBorders>
          </w:tcPr>
          <w:p>
            <w:pPr>
              <w:spacing w:after="0"/>
              <w:rPr>
                <w:sz w:val="17"/>
                <w:szCs w:val="17"/>
                <w:color w:val="auto"/>
              </w:rPr>
            </w:pPr>
          </w:p>
        </w:tc>
        <w:tc>
          <w:tcPr>
            <w:tcW w:w="3920" w:type="dxa"/>
            <w:vAlign w:val="bottom"/>
            <w:tcBorders>
              <w:bottom w:val="single" w:sz="8" w:color="231F20"/>
            </w:tcBorders>
          </w:tcPr>
          <w:p>
            <w:pPr>
              <w:ind w:left="1680"/>
              <w:spacing w:after="0"/>
              <w:rPr>
                <w:sz w:val="20"/>
                <w:szCs w:val="20"/>
                <w:color w:val="auto"/>
              </w:rPr>
            </w:pPr>
            <w:r>
              <w:rPr>
                <w:rFonts w:ascii="Times New Roman" w:cs="Times New Roman" w:eastAsia="Times New Roman" w:hAnsi="Times New Roman"/>
                <w:sz w:val="16"/>
                <w:szCs w:val="16"/>
                <w:b w:val="1"/>
                <w:bCs w:val="1"/>
                <w:color w:val="231F20"/>
              </w:rPr>
              <w:t>location</w:t>
            </w:r>
          </w:p>
        </w:tc>
        <w:tc>
          <w:tcPr>
            <w:tcW w:w="140" w:type="dxa"/>
            <w:vAlign w:val="bottom"/>
            <w:tcBorders>
              <w:bottom w:val="single" w:sz="8" w:color="EAEBEC"/>
            </w:tcBorders>
          </w:tcPr>
          <w:p>
            <w:pPr>
              <w:spacing w:after="0"/>
              <w:rPr>
                <w:sz w:val="17"/>
                <w:szCs w:val="17"/>
                <w:color w:val="auto"/>
              </w:rPr>
            </w:pPr>
          </w:p>
        </w:tc>
        <w:tc>
          <w:tcPr>
            <w:tcW w:w="2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80" w:type="dxa"/>
            <w:vAlign w:val="bottom"/>
            <w:tcBorders>
              <w:bottom w:val="single" w:sz="8" w:color="EAEBEC"/>
            </w:tcBorders>
          </w:tcPr>
          <w:p>
            <w:pPr>
              <w:spacing w:after="0"/>
              <w:rPr>
                <w:sz w:val="17"/>
                <w:szCs w:val="17"/>
                <w:color w:val="auto"/>
              </w:rPr>
            </w:pPr>
          </w:p>
        </w:tc>
        <w:tc>
          <w:tcPr>
            <w:tcW w:w="20" w:type="dxa"/>
            <w:vAlign w:val="bottom"/>
            <w:tcBorders>
              <w:bottom w:val="single" w:sz="8" w:color="EAEBEC"/>
            </w:tcBorders>
          </w:tcPr>
          <w:p>
            <w:pPr>
              <w:spacing w:after="0"/>
              <w:rPr>
                <w:sz w:val="17"/>
                <w:szCs w:val="17"/>
                <w:color w:val="auto"/>
              </w:rPr>
            </w:pPr>
          </w:p>
        </w:tc>
        <w:tc>
          <w:tcPr>
            <w:tcW w:w="140" w:type="dxa"/>
            <w:vAlign w:val="bottom"/>
            <w:tcBorders>
              <w:bottom w:val="single" w:sz="8" w:color="EAEBEC"/>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AEBEC"/>
            </w:tcBorders>
          </w:tcPr>
          <w:p>
            <w:pPr>
              <w:spacing w:after="0"/>
              <w:rPr>
                <w:sz w:val="17"/>
                <w:szCs w:val="17"/>
                <w:color w:val="auto"/>
              </w:rPr>
            </w:pPr>
          </w:p>
        </w:tc>
      </w:tr>
      <w:tr>
        <w:trPr>
          <w:trHeight w:val="239"/>
        </w:trPr>
        <w:tc>
          <w:tcPr>
            <w:tcW w:w="22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Assets</w:t>
            </w:r>
          </w:p>
        </w:tc>
        <w:tc>
          <w:tcPr>
            <w:tcW w:w="140" w:type="dxa"/>
            <w:vAlign w:val="bottom"/>
            <w:shd w:val="clear" w:color="auto" w:fill="EAEBEC"/>
          </w:tcPr>
          <w:p>
            <w:pPr>
              <w:spacing w:after="0"/>
              <w:rPr>
                <w:sz w:val="20"/>
                <w:szCs w:val="20"/>
                <w:color w:val="auto"/>
              </w:rPr>
            </w:pPr>
          </w:p>
        </w:tc>
        <w:tc>
          <w:tcPr>
            <w:tcW w:w="392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20" w:type="dxa"/>
            <w:vAlign w:val="bottom"/>
            <w:shd w:val="clear" w:color="auto" w:fill="EAEBEC"/>
          </w:tcPr>
          <w:p>
            <w:pPr>
              <w:spacing w:after="0"/>
              <w:rPr>
                <w:sz w:val="20"/>
                <w:szCs w:val="20"/>
                <w:color w:val="auto"/>
              </w:rPr>
            </w:pPr>
          </w:p>
        </w:tc>
        <w:tc>
          <w:tcPr>
            <w:tcW w:w="160" w:type="dxa"/>
            <w:vAlign w:val="bottom"/>
            <w:shd w:val="clear" w:color="auto" w:fill="EAEBEC"/>
          </w:tcPr>
          <w:p>
            <w:pPr>
              <w:spacing w:after="0"/>
              <w:rPr>
                <w:sz w:val="20"/>
                <w:szCs w:val="20"/>
                <w:color w:val="auto"/>
              </w:rPr>
            </w:pPr>
          </w:p>
        </w:tc>
        <w:tc>
          <w:tcPr>
            <w:tcW w:w="1160" w:type="dxa"/>
            <w:vAlign w:val="bottom"/>
            <w:shd w:val="clear" w:color="auto" w:fill="EAEBEC"/>
          </w:tcPr>
          <w:p>
            <w:pPr>
              <w:spacing w:after="0"/>
              <w:rPr>
                <w:sz w:val="20"/>
                <w:szCs w:val="20"/>
                <w:color w:val="auto"/>
              </w:rPr>
            </w:pPr>
          </w:p>
        </w:tc>
        <w:tc>
          <w:tcPr>
            <w:tcW w:w="80" w:type="dxa"/>
            <w:vAlign w:val="bottom"/>
            <w:shd w:val="clear" w:color="auto" w:fill="EAEBEC"/>
          </w:tcPr>
          <w:p>
            <w:pPr>
              <w:spacing w:after="0"/>
              <w:rPr>
                <w:sz w:val="20"/>
                <w:szCs w:val="20"/>
                <w:color w:val="auto"/>
              </w:rPr>
            </w:pPr>
          </w:p>
        </w:tc>
        <w:tc>
          <w:tcPr>
            <w:tcW w:w="2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160" w:type="dxa"/>
            <w:vAlign w:val="bottom"/>
            <w:shd w:val="clear" w:color="auto" w:fill="EAEBEC"/>
          </w:tcPr>
          <w:p>
            <w:pPr>
              <w:spacing w:after="0"/>
              <w:rPr>
                <w:sz w:val="20"/>
                <w:szCs w:val="20"/>
                <w:color w:val="auto"/>
              </w:rPr>
            </w:pPr>
          </w:p>
        </w:tc>
        <w:tc>
          <w:tcPr>
            <w:tcW w:w="1160" w:type="dxa"/>
            <w:vAlign w:val="bottom"/>
            <w:shd w:val="clear" w:color="auto" w:fill="EAEBEC"/>
          </w:tcPr>
          <w:p>
            <w:pPr>
              <w:spacing w:after="0"/>
              <w:rPr>
                <w:sz w:val="20"/>
                <w:szCs w:val="20"/>
                <w:color w:val="auto"/>
              </w:rPr>
            </w:pPr>
          </w:p>
        </w:tc>
        <w:tc>
          <w:tcPr>
            <w:tcW w:w="60" w:type="dxa"/>
            <w:vAlign w:val="bottom"/>
            <w:shd w:val="clear" w:color="auto" w:fill="EAEBEC"/>
          </w:tcPr>
          <w:p>
            <w:pPr>
              <w:spacing w:after="0"/>
              <w:rPr>
                <w:sz w:val="20"/>
                <w:szCs w:val="20"/>
                <w:color w:val="auto"/>
              </w:rPr>
            </w:pPr>
          </w:p>
        </w:tc>
      </w:tr>
      <w:tr>
        <w:trPr>
          <w:trHeight w:val="244"/>
        </w:trPr>
        <w:tc>
          <w:tcPr>
            <w:tcW w:w="22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leases</w:t>
            </w:r>
          </w:p>
        </w:tc>
        <w:tc>
          <w:tcPr>
            <w:tcW w:w="140" w:type="dxa"/>
            <w:vAlign w:val="bottom"/>
          </w:tcPr>
          <w:p>
            <w:pPr>
              <w:spacing w:after="0"/>
              <w:rPr>
                <w:sz w:val="21"/>
                <w:szCs w:val="21"/>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231F20"/>
              </w:rPr>
              <w:t>Operating lease right-of-use assets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1,288,593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1,302,346</w:t>
            </w:r>
          </w:p>
        </w:tc>
        <w:tc>
          <w:tcPr>
            <w:tcW w:w="60" w:type="dxa"/>
            <w:vAlign w:val="bottom"/>
          </w:tcPr>
          <w:p>
            <w:pPr>
              <w:spacing w:after="0"/>
              <w:rPr>
                <w:sz w:val="21"/>
                <w:szCs w:val="21"/>
                <w:color w:val="auto"/>
              </w:rPr>
            </w:pPr>
          </w:p>
        </w:tc>
      </w:tr>
      <w:tr>
        <w:trPr>
          <w:trHeight w:val="264"/>
        </w:trPr>
        <w:tc>
          <w:tcPr>
            <w:tcW w:w="2200" w:type="dxa"/>
            <w:vAlign w:val="bottom"/>
            <w:tcBorders>
              <w:bottom w:val="single" w:sz="8" w:color="EAEBEC"/>
            </w:tcBorders>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Finance leases</w:t>
            </w:r>
          </w:p>
        </w:tc>
        <w:tc>
          <w:tcPr>
            <w:tcW w:w="140" w:type="dxa"/>
            <w:vAlign w:val="bottom"/>
            <w:tcBorders>
              <w:bottom w:val="single" w:sz="8" w:color="EAEBEC"/>
            </w:tcBorders>
            <w:shd w:val="clear" w:color="auto" w:fill="EAEBEC"/>
          </w:tcPr>
          <w:p>
            <w:pPr>
              <w:spacing w:after="0"/>
              <w:rPr>
                <w:sz w:val="22"/>
                <w:szCs w:val="22"/>
                <w:color w:val="auto"/>
              </w:rPr>
            </w:pPr>
          </w:p>
        </w:tc>
        <w:tc>
          <w:tcPr>
            <w:tcW w:w="392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Fixed assets, net(1)</w:t>
            </w:r>
          </w:p>
        </w:tc>
        <w:tc>
          <w:tcPr>
            <w:tcW w:w="140" w:type="dxa"/>
            <w:vAlign w:val="bottom"/>
            <w:tcBorders>
              <w:bottom w:val="single" w:sz="8" w:color="EAEBEC"/>
            </w:tcBorders>
            <w:shd w:val="clear" w:color="auto" w:fill="EAEBEC"/>
          </w:tcPr>
          <w:p>
            <w:pPr>
              <w:spacing w:after="0"/>
              <w:rPr>
                <w:sz w:val="22"/>
                <w:szCs w:val="22"/>
                <w:color w:val="auto"/>
              </w:rPr>
            </w:pPr>
          </w:p>
        </w:tc>
        <w:tc>
          <w:tcPr>
            <w:tcW w:w="20" w:type="dxa"/>
            <w:vAlign w:val="bottom"/>
            <w:tcBorders>
              <w:bottom w:val="single" w:sz="8" w:color="231F20"/>
            </w:tcBorders>
            <w:shd w:val="clear" w:color="auto" w:fill="EAEBEC"/>
          </w:tcPr>
          <w:p>
            <w:pPr>
              <w:spacing w:after="0"/>
              <w:rPr>
                <w:sz w:val="22"/>
                <w:szCs w:val="22"/>
                <w:color w:val="auto"/>
              </w:rPr>
            </w:pPr>
          </w:p>
        </w:tc>
        <w:tc>
          <w:tcPr>
            <w:tcW w:w="160" w:type="dxa"/>
            <w:vAlign w:val="bottom"/>
            <w:tcBorders>
              <w:bottom w:val="single" w:sz="8" w:color="231F20"/>
            </w:tcBorders>
            <w:shd w:val="clear" w:color="auto" w:fill="EAEBEC"/>
          </w:tcPr>
          <w:p>
            <w:pPr>
              <w:spacing w:after="0"/>
              <w:rPr>
                <w:sz w:val="22"/>
                <w:szCs w:val="22"/>
                <w:color w:val="auto"/>
              </w:rPr>
            </w:pPr>
          </w:p>
        </w:tc>
        <w:tc>
          <w:tcPr>
            <w:tcW w:w="11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6,931</w:t>
            </w:r>
          </w:p>
        </w:tc>
        <w:tc>
          <w:tcPr>
            <w:tcW w:w="80" w:type="dxa"/>
            <w:vAlign w:val="bottom"/>
            <w:tcBorders>
              <w:bottom w:val="single" w:sz="8" w:color="EAEBEC"/>
            </w:tcBorders>
            <w:shd w:val="clear" w:color="auto" w:fill="EAEBEC"/>
          </w:tcPr>
          <w:p>
            <w:pPr>
              <w:spacing w:after="0"/>
              <w:rPr>
                <w:sz w:val="22"/>
                <w:szCs w:val="22"/>
                <w:color w:val="auto"/>
              </w:rPr>
            </w:pPr>
          </w:p>
        </w:tc>
        <w:tc>
          <w:tcPr>
            <w:tcW w:w="20" w:type="dxa"/>
            <w:vAlign w:val="bottom"/>
            <w:tcBorders>
              <w:bottom w:val="single" w:sz="8" w:color="231F20"/>
            </w:tcBorders>
            <w:shd w:val="clear" w:color="auto" w:fill="EAEBEC"/>
          </w:tcPr>
          <w:p>
            <w:pPr>
              <w:spacing w:after="0"/>
              <w:rPr>
                <w:sz w:val="22"/>
                <w:szCs w:val="22"/>
                <w:color w:val="auto"/>
              </w:rPr>
            </w:pPr>
          </w:p>
        </w:tc>
        <w:tc>
          <w:tcPr>
            <w:tcW w:w="140" w:type="dxa"/>
            <w:vAlign w:val="bottom"/>
            <w:tcBorders>
              <w:bottom w:val="single" w:sz="8" w:color="231F20"/>
            </w:tcBorders>
            <w:shd w:val="clear" w:color="auto" w:fill="EAEBEC"/>
          </w:tcPr>
          <w:p>
            <w:pPr>
              <w:spacing w:after="0"/>
              <w:rPr>
                <w:sz w:val="22"/>
                <w:szCs w:val="22"/>
                <w:color w:val="auto"/>
              </w:rPr>
            </w:pPr>
          </w:p>
        </w:tc>
        <w:tc>
          <w:tcPr>
            <w:tcW w:w="160" w:type="dxa"/>
            <w:vAlign w:val="bottom"/>
            <w:tcBorders>
              <w:bottom w:val="single" w:sz="8" w:color="231F20"/>
            </w:tcBorders>
            <w:shd w:val="clear" w:color="auto" w:fill="EAEBEC"/>
          </w:tcPr>
          <w:p>
            <w:pPr>
              <w:spacing w:after="0"/>
              <w:rPr>
                <w:sz w:val="22"/>
                <w:szCs w:val="22"/>
                <w:color w:val="auto"/>
              </w:rPr>
            </w:pPr>
          </w:p>
        </w:tc>
        <w:tc>
          <w:tcPr>
            <w:tcW w:w="11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10,131</w:t>
            </w:r>
          </w:p>
        </w:tc>
        <w:tc>
          <w:tcPr>
            <w:tcW w:w="60" w:type="dxa"/>
            <w:vAlign w:val="bottom"/>
            <w:tcBorders>
              <w:bottom w:val="single" w:sz="8" w:color="EAEBEC"/>
            </w:tcBorders>
            <w:shd w:val="clear" w:color="auto" w:fill="EAEBEC"/>
          </w:tcPr>
          <w:p>
            <w:pPr>
              <w:spacing w:after="0"/>
              <w:rPr>
                <w:sz w:val="22"/>
                <w:szCs w:val="22"/>
                <w:color w:val="auto"/>
              </w:rPr>
            </w:pPr>
          </w:p>
        </w:tc>
      </w:tr>
      <w:tr>
        <w:trPr>
          <w:trHeight w:val="259"/>
        </w:trPr>
        <w:tc>
          <w:tcPr>
            <w:tcW w:w="2200" w:type="dxa"/>
            <w:vAlign w:val="bottom"/>
            <w:tcBorders>
              <w:bottom w:val="single" w:sz="8" w:color="EAEBEC"/>
            </w:tcBorders>
          </w:tcPr>
          <w:p>
            <w:pPr>
              <w:spacing w:after="0" w:line="219" w:lineRule="exact"/>
              <w:rPr>
                <w:sz w:val="20"/>
                <w:szCs w:val="20"/>
                <w:color w:val="auto"/>
              </w:rPr>
            </w:pPr>
            <w:r>
              <w:rPr>
                <w:rFonts w:ascii="Times New Roman" w:cs="Times New Roman" w:eastAsia="Times New Roman" w:hAnsi="Times New Roman"/>
                <w:sz w:val="20"/>
                <w:szCs w:val="20"/>
                <w:color w:val="231F20"/>
              </w:rPr>
              <w:t>Total lease assets</w:t>
            </w:r>
          </w:p>
        </w:tc>
        <w:tc>
          <w:tcPr>
            <w:tcW w:w="140" w:type="dxa"/>
            <w:vAlign w:val="bottom"/>
            <w:tcBorders>
              <w:bottom w:val="single" w:sz="8" w:color="EAEBEC"/>
            </w:tcBorders>
          </w:tcPr>
          <w:p>
            <w:pPr>
              <w:spacing w:after="0"/>
              <w:rPr>
                <w:sz w:val="22"/>
                <w:szCs w:val="22"/>
                <w:color w:val="auto"/>
              </w:rPr>
            </w:pPr>
          </w:p>
        </w:tc>
        <w:tc>
          <w:tcPr>
            <w:tcW w:w="3920" w:type="dxa"/>
            <w:vAlign w:val="bottom"/>
            <w:tcBorders>
              <w:bottom w:val="single" w:sz="8" w:color="EAEBEC"/>
            </w:tcBorders>
          </w:tcPr>
          <w:p>
            <w:pPr>
              <w:spacing w:after="0"/>
              <w:rPr>
                <w:sz w:val="22"/>
                <w:szCs w:val="22"/>
                <w:color w:val="auto"/>
              </w:rPr>
            </w:pPr>
          </w:p>
        </w:tc>
        <w:tc>
          <w:tcPr>
            <w:tcW w:w="140" w:type="dxa"/>
            <w:vAlign w:val="bottom"/>
            <w:tcBorders>
              <w:bottom w:val="single" w:sz="8" w:color="EAEBEC"/>
            </w:tcBorders>
          </w:tcPr>
          <w:p>
            <w:pPr>
              <w:spacing w:after="0"/>
              <w:rPr>
                <w:sz w:val="22"/>
                <w:szCs w:val="22"/>
                <w:color w:val="auto"/>
              </w:rPr>
            </w:pPr>
          </w:p>
        </w:tc>
        <w:tc>
          <w:tcPr>
            <w:tcW w:w="180" w:type="dxa"/>
            <w:vAlign w:val="bottom"/>
            <w:tcBorders>
              <w:bottom w:val="single" w:sz="8" w:color="231F20"/>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1,295,524</w:t>
            </w:r>
          </w:p>
        </w:tc>
        <w:tc>
          <w:tcPr>
            <w:tcW w:w="80" w:type="dxa"/>
            <w:vAlign w:val="bottom"/>
            <w:tcBorders>
              <w:bottom w:val="single" w:sz="8" w:color="EAEBEC"/>
            </w:tcBorders>
          </w:tcPr>
          <w:p>
            <w:pPr>
              <w:spacing w:after="0"/>
              <w:rPr>
                <w:sz w:val="22"/>
                <w:szCs w:val="22"/>
                <w:color w:val="auto"/>
              </w:rPr>
            </w:pPr>
          </w:p>
        </w:tc>
        <w:tc>
          <w:tcPr>
            <w:tcW w:w="320" w:type="dxa"/>
            <w:vAlign w:val="bottom"/>
            <w:tcBorders>
              <w:bottom w:val="single" w:sz="8" w:color="231F20"/>
            </w:tcBorders>
            <w:gridSpan w:val="3"/>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11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1,312,477</w:t>
            </w:r>
          </w:p>
        </w:tc>
        <w:tc>
          <w:tcPr>
            <w:tcW w:w="60" w:type="dxa"/>
            <w:vAlign w:val="bottom"/>
            <w:tcBorders>
              <w:bottom w:val="single" w:sz="8" w:color="EAEBEC"/>
            </w:tcBorders>
          </w:tcPr>
          <w:p>
            <w:pPr>
              <w:spacing w:after="0"/>
              <w:rPr>
                <w:sz w:val="22"/>
                <w:szCs w:val="22"/>
                <w:color w:val="auto"/>
              </w:rPr>
            </w:pPr>
          </w:p>
        </w:tc>
      </w:tr>
      <w:tr>
        <w:trPr>
          <w:trHeight w:val="229"/>
        </w:trPr>
        <w:tc>
          <w:tcPr>
            <w:tcW w:w="22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b w:val="1"/>
                <w:bCs w:val="1"/>
                <w:color w:val="231F20"/>
              </w:rPr>
              <w:t>Liabilities</w:t>
            </w:r>
          </w:p>
        </w:tc>
        <w:tc>
          <w:tcPr>
            <w:tcW w:w="140" w:type="dxa"/>
            <w:vAlign w:val="bottom"/>
            <w:shd w:val="clear" w:color="auto" w:fill="EAEBEC"/>
          </w:tcPr>
          <w:p>
            <w:pPr>
              <w:spacing w:after="0"/>
              <w:rPr>
                <w:sz w:val="19"/>
                <w:szCs w:val="19"/>
                <w:color w:val="auto"/>
              </w:rPr>
            </w:pPr>
          </w:p>
        </w:tc>
        <w:tc>
          <w:tcPr>
            <w:tcW w:w="3920" w:type="dxa"/>
            <w:vAlign w:val="bottom"/>
            <w:shd w:val="clear" w:color="auto" w:fill="EAEBEC"/>
          </w:tcPr>
          <w:p>
            <w:pPr>
              <w:spacing w:after="0"/>
              <w:rPr>
                <w:sz w:val="19"/>
                <w:szCs w:val="19"/>
                <w:color w:val="auto"/>
              </w:rPr>
            </w:pPr>
          </w:p>
        </w:tc>
        <w:tc>
          <w:tcPr>
            <w:tcW w:w="140" w:type="dxa"/>
            <w:vAlign w:val="bottom"/>
            <w:shd w:val="clear" w:color="auto" w:fill="EAEBEC"/>
          </w:tcPr>
          <w:p>
            <w:pPr>
              <w:spacing w:after="0"/>
              <w:rPr>
                <w:sz w:val="19"/>
                <w:szCs w:val="19"/>
                <w:color w:val="auto"/>
              </w:rPr>
            </w:pPr>
          </w:p>
        </w:tc>
        <w:tc>
          <w:tcPr>
            <w:tcW w:w="20" w:type="dxa"/>
            <w:vAlign w:val="bottom"/>
            <w:shd w:val="clear" w:color="auto" w:fill="EAEBEC"/>
          </w:tcPr>
          <w:p>
            <w:pPr>
              <w:spacing w:after="0"/>
              <w:rPr>
                <w:sz w:val="19"/>
                <w:szCs w:val="19"/>
                <w:color w:val="auto"/>
              </w:rPr>
            </w:pPr>
          </w:p>
        </w:tc>
        <w:tc>
          <w:tcPr>
            <w:tcW w:w="160" w:type="dxa"/>
            <w:vAlign w:val="bottom"/>
            <w:shd w:val="clear" w:color="auto" w:fill="EAEBEC"/>
          </w:tcPr>
          <w:p>
            <w:pPr>
              <w:spacing w:after="0"/>
              <w:rPr>
                <w:sz w:val="19"/>
                <w:szCs w:val="19"/>
                <w:color w:val="auto"/>
              </w:rPr>
            </w:pPr>
          </w:p>
        </w:tc>
        <w:tc>
          <w:tcPr>
            <w:tcW w:w="1160" w:type="dxa"/>
            <w:vAlign w:val="bottom"/>
            <w:shd w:val="clear" w:color="auto" w:fill="EAEBEC"/>
          </w:tcPr>
          <w:p>
            <w:pPr>
              <w:spacing w:after="0"/>
              <w:rPr>
                <w:sz w:val="19"/>
                <w:szCs w:val="19"/>
                <w:color w:val="auto"/>
              </w:rPr>
            </w:pPr>
          </w:p>
        </w:tc>
        <w:tc>
          <w:tcPr>
            <w:tcW w:w="80" w:type="dxa"/>
            <w:vAlign w:val="bottom"/>
            <w:shd w:val="clear" w:color="auto" w:fill="EAEBEC"/>
          </w:tcPr>
          <w:p>
            <w:pPr>
              <w:spacing w:after="0"/>
              <w:rPr>
                <w:sz w:val="19"/>
                <w:szCs w:val="19"/>
                <w:color w:val="auto"/>
              </w:rPr>
            </w:pPr>
          </w:p>
        </w:tc>
        <w:tc>
          <w:tcPr>
            <w:tcW w:w="20" w:type="dxa"/>
            <w:vAlign w:val="bottom"/>
            <w:shd w:val="clear" w:color="auto" w:fill="EAEBEC"/>
          </w:tcPr>
          <w:p>
            <w:pPr>
              <w:spacing w:after="0"/>
              <w:rPr>
                <w:sz w:val="19"/>
                <w:szCs w:val="19"/>
                <w:color w:val="auto"/>
              </w:rPr>
            </w:pPr>
          </w:p>
        </w:tc>
        <w:tc>
          <w:tcPr>
            <w:tcW w:w="140" w:type="dxa"/>
            <w:vAlign w:val="bottom"/>
            <w:shd w:val="clear" w:color="auto" w:fill="EAEBEC"/>
          </w:tcPr>
          <w:p>
            <w:pPr>
              <w:spacing w:after="0"/>
              <w:rPr>
                <w:sz w:val="19"/>
                <w:szCs w:val="19"/>
                <w:color w:val="auto"/>
              </w:rPr>
            </w:pPr>
          </w:p>
        </w:tc>
        <w:tc>
          <w:tcPr>
            <w:tcW w:w="160" w:type="dxa"/>
            <w:vAlign w:val="bottom"/>
            <w:shd w:val="clear" w:color="auto" w:fill="EAEBEC"/>
          </w:tcPr>
          <w:p>
            <w:pPr>
              <w:spacing w:after="0"/>
              <w:rPr>
                <w:sz w:val="19"/>
                <w:szCs w:val="19"/>
                <w:color w:val="auto"/>
              </w:rPr>
            </w:pPr>
          </w:p>
        </w:tc>
        <w:tc>
          <w:tcPr>
            <w:tcW w:w="1160" w:type="dxa"/>
            <w:vAlign w:val="bottom"/>
            <w:shd w:val="clear" w:color="auto" w:fill="EAEBEC"/>
          </w:tcPr>
          <w:p>
            <w:pPr>
              <w:spacing w:after="0"/>
              <w:rPr>
                <w:sz w:val="19"/>
                <w:szCs w:val="19"/>
                <w:color w:val="auto"/>
              </w:rPr>
            </w:pPr>
          </w:p>
        </w:tc>
        <w:tc>
          <w:tcPr>
            <w:tcW w:w="60" w:type="dxa"/>
            <w:vAlign w:val="bottom"/>
            <w:shd w:val="clear" w:color="auto" w:fill="EAEBEC"/>
          </w:tcPr>
          <w:p>
            <w:pPr>
              <w:spacing w:after="0"/>
              <w:rPr>
                <w:sz w:val="19"/>
                <w:szCs w:val="19"/>
                <w:color w:val="auto"/>
              </w:rPr>
            </w:pPr>
          </w:p>
        </w:tc>
      </w:tr>
      <w:tr>
        <w:trPr>
          <w:trHeight w:val="244"/>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231F20"/>
              </w:rPr>
              <w:t>Current</w:t>
            </w:r>
          </w:p>
        </w:tc>
        <w:tc>
          <w:tcPr>
            <w:tcW w:w="1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220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Operating leases</w:t>
            </w:r>
          </w:p>
        </w:tc>
        <w:tc>
          <w:tcPr>
            <w:tcW w:w="140" w:type="dxa"/>
            <w:vAlign w:val="bottom"/>
            <w:shd w:val="clear" w:color="auto" w:fill="EAEBEC"/>
          </w:tcPr>
          <w:p>
            <w:pPr>
              <w:spacing w:after="0"/>
              <w:rPr>
                <w:sz w:val="21"/>
                <w:szCs w:val="21"/>
                <w:color w:val="auto"/>
              </w:rPr>
            </w:pPr>
          </w:p>
        </w:tc>
        <w:tc>
          <w:tcPr>
            <w:tcW w:w="39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Current portion of operating lease liabilities</w:t>
            </w:r>
          </w:p>
        </w:tc>
        <w:tc>
          <w:tcPr>
            <w:tcW w:w="320" w:type="dxa"/>
            <w:vAlign w:val="bottom"/>
            <w:gridSpan w:val="3"/>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320,082</w:t>
            </w:r>
          </w:p>
        </w:tc>
        <w:tc>
          <w:tcPr>
            <w:tcW w:w="400" w:type="dxa"/>
            <w:vAlign w:val="bottom"/>
            <w:gridSpan w:val="4"/>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306,400</w:t>
            </w:r>
          </w:p>
        </w:tc>
        <w:tc>
          <w:tcPr>
            <w:tcW w:w="60" w:type="dxa"/>
            <w:vAlign w:val="bottom"/>
            <w:shd w:val="clear" w:color="auto" w:fill="EAEBEC"/>
          </w:tcPr>
          <w:p>
            <w:pPr>
              <w:spacing w:after="0"/>
              <w:rPr>
                <w:sz w:val="21"/>
                <w:szCs w:val="21"/>
                <w:color w:val="auto"/>
              </w:rPr>
            </w:pPr>
          </w:p>
        </w:tc>
      </w:tr>
      <w:tr>
        <w:trPr>
          <w:trHeight w:val="224"/>
        </w:trPr>
        <w:tc>
          <w:tcPr>
            <w:tcW w:w="22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Finance leases</w:t>
            </w:r>
          </w:p>
        </w:tc>
        <w:tc>
          <w:tcPr>
            <w:tcW w:w="140" w:type="dxa"/>
            <w:vAlign w:val="bottom"/>
          </w:tcPr>
          <w:p>
            <w:pPr>
              <w:spacing w:after="0"/>
              <w:rPr>
                <w:sz w:val="19"/>
                <w:szCs w:val="19"/>
                <w:color w:val="auto"/>
              </w:rPr>
            </w:pPr>
          </w:p>
        </w:tc>
        <w:tc>
          <w:tcPr>
            <w:tcW w:w="39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Current portion of long-term debt and other</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lease liabilities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4,608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5,346</w:t>
            </w:r>
          </w:p>
        </w:tc>
        <w:tc>
          <w:tcPr>
            <w:tcW w:w="60" w:type="dxa"/>
            <w:vAlign w:val="bottom"/>
          </w:tcPr>
          <w:p>
            <w:pPr>
              <w:spacing w:after="0"/>
              <w:rPr>
                <w:sz w:val="21"/>
                <w:szCs w:val="21"/>
                <w:color w:val="auto"/>
              </w:rPr>
            </w:pPr>
          </w:p>
        </w:tc>
      </w:tr>
      <w:tr>
        <w:trPr>
          <w:trHeight w:val="244"/>
        </w:trPr>
        <w:tc>
          <w:tcPr>
            <w:tcW w:w="22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Non-current</w:t>
            </w:r>
          </w:p>
        </w:tc>
        <w:tc>
          <w:tcPr>
            <w:tcW w:w="140" w:type="dxa"/>
            <w:vAlign w:val="bottom"/>
            <w:shd w:val="clear" w:color="auto" w:fill="EAEBEC"/>
          </w:tcPr>
          <w:p>
            <w:pPr>
              <w:spacing w:after="0"/>
              <w:rPr>
                <w:sz w:val="21"/>
                <w:szCs w:val="21"/>
                <w:color w:val="auto"/>
              </w:rPr>
            </w:pPr>
          </w:p>
        </w:tc>
        <w:tc>
          <w:tcPr>
            <w:tcW w:w="392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16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160" w:type="dxa"/>
            <w:vAlign w:val="bottom"/>
            <w:shd w:val="clear" w:color="auto" w:fill="EAEBEC"/>
          </w:tcPr>
          <w:p>
            <w:pPr>
              <w:spacing w:after="0"/>
              <w:rPr>
                <w:sz w:val="21"/>
                <w:szCs w:val="21"/>
                <w:color w:val="auto"/>
              </w:rPr>
            </w:pPr>
          </w:p>
        </w:tc>
        <w:tc>
          <w:tcPr>
            <w:tcW w:w="60" w:type="dxa"/>
            <w:vAlign w:val="bottom"/>
            <w:shd w:val="clear" w:color="auto" w:fill="EAEBEC"/>
          </w:tcPr>
          <w:p>
            <w:pPr>
              <w:spacing w:after="0"/>
              <w:rPr>
                <w:sz w:val="21"/>
                <w:szCs w:val="21"/>
                <w:color w:val="auto"/>
              </w:rPr>
            </w:pPr>
          </w:p>
        </w:tc>
      </w:tr>
      <w:tr>
        <w:trPr>
          <w:trHeight w:val="224"/>
        </w:trPr>
        <w:tc>
          <w:tcPr>
            <w:tcW w:w="22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Operating leases</w:t>
            </w:r>
          </w:p>
        </w:tc>
        <w:tc>
          <w:tcPr>
            <w:tcW w:w="140" w:type="dxa"/>
            <w:vAlign w:val="bottom"/>
          </w:tcPr>
          <w:p>
            <w:pPr>
              <w:spacing w:after="0"/>
              <w:rPr>
                <w:sz w:val="19"/>
                <w:szCs w:val="19"/>
                <w:color w:val="auto"/>
              </w:rPr>
            </w:pPr>
          </w:p>
        </w:tc>
        <w:tc>
          <w:tcPr>
            <w:tcW w:w="39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Operating lease liabilities, excluding</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2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current portion</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1,047,185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1,037,206</w:t>
            </w:r>
          </w:p>
        </w:tc>
        <w:tc>
          <w:tcPr>
            <w:tcW w:w="60" w:type="dxa"/>
            <w:vAlign w:val="bottom"/>
          </w:tcPr>
          <w:p>
            <w:pPr>
              <w:spacing w:after="0"/>
              <w:rPr>
                <w:sz w:val="21"/>
                <w:szCs w:val="21"/>
                <w:color w:val="auto"/>
              </w:rPr>
            </w:pPr>
          </w:p>
        </w:tc>
      </w:tr>
      <w:tr>
        <w:trPr>
          <w:trHeight w:val="264"/>
        </w:trPr>
        <w:tc>
          <w:tcPr>
            <w:tcW w:w="2200" w:type="dxa"/>
            <w:vAlign w:val="bottom"/>
            <w:tcBorders>
              <w:bottom w:val="single" w:sz="8" w:color="EAEBEC"/>
            </w:tcBorders>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Finance leases</w:t>
            </w:r>
          </w:p>
        </w:tc>
        <w:tc>
          <w:tcPr>
            <w:tcW w:w="140" w:type="dxa"/>
            <w:vAlign w:val="bottom"/>
            <w:tcBorders>
              <w:bottom w:val="single" w:sz="8" w:color="EAEBEC"/>
            </w:tcBorders>
            <w:shd w:val="clear" w:color="auto" w:fill="EAEBEC"/>
          </w:tcPr>
          <w:p>
            <w:pPr>
              <w:spacing w:after="0"/>
              <w:rPr>
                <w:sz w:val="22"/>
                <w:szCs w:val="22"/>
                <w:color w:val="auto"/>
              </w:rPr>
            </w:pPr>
          </w:p>
        </w:tc>
        <w:tc>
          <w:tcPr>
            <w:tcW w:w="392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Other long-term liabilities</w:t>
            </w:r>
          </w:p>
        </w:tc>
        <w:tc>
          <w:tcPr>
            <w:tcW w:w="140" w:type="dxa"/>
            <w:vAlign w:val="bottom"/>
            <w:tcBorders>
              <w:bottom w:val="single" w:sz="8" w:color="EAEBEC"/>
            </w:tcBorders>
            <w:shd w:val="clear" w:color="auto" w:fill="EAEBEC"/>
          </w:tcPr>
          <w:p>
            <w:pPr>
              <w:spacing w:after="0"/>
              <w:rPr>
                <w:sz w:val="22"/>
                <w:szCs w:val="22"/>
                <w:color w:val="auto"/>
              </w:rPr>
            </w:pPr>
          </w:p>
        </w:tc>
        <w:tc>
          <w:tcPr>
            <w:tcW w:w="20" w:type="dxa"/>
            <w:vAlign w:val="bottom"/>
            <w:tcBorders>
              <w:bottom w:val="single" w:sz="8" w:color="231F20"/>
            </w:tcBorders>
            <w:shd w:val="clear" w:color="auto" w:fill="EAEBEC"/>
          </w:tcPr>
          <w:p>
            <w:pPr>
              <w:spacing w:after="0"/>
              <w:rPr>
                <w:sz w:val="22"/>
                <w:szCs w:val="22"/>
                <w:color w:val="auto"/>
              </w:rPr>
            </w:pPr>
          </w:p>
        </w:tc>
        <w:tc>
          <w:tcPr>
            <w:tcW w:w="160" w:type="dxa"/>
            <w:vAlign w:val="bottom"/>
            <w:tcBorders>
              <w:bottom w:val="single" w:sz="8" w:color="231F20"/>
            </w:tcBorders>
            <w:shd w:val="clear" w:color="auto" w:fill="EAEBEC"/>
          </w:tcPr>
          <w:p>
            <w:pPr>
              <w:spacing w:after="0"/>
              <w:rPr>
                <w:sz w:val="22"/>
                <w:szCs w:val="22"/>
                <w:color w:val="auto"/>
              </w:rPr>
            </w:pPr>
          </w:p>
        </w:tc>
        <w:tc>
          <w:tcPr>
            <w:tcW w:w="11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5,075</w:t>
            </w:r>
          </w:p>
        </w:tc>
        <w:tc>
          <w:tcPr>
            <w:tcW w:w="80" w:type="dxa"/>
            <w:vAlign w:val="bottom"/>
            <w:tcBorders>
              <w:bottom w:val="single" w:sz="8" w:color="EAEBEC"/>
            </w:tcBorders>
            <w:shd w:val="clear" w:color="auto" w:fill="EAEBEC"/>
          </w:tcPr>
          <w:p>
            <w:pPr>
              <w:spacing w:after="0"/>
              <w:rPr>
                <w:sz w:val="22"/>
                <w:szCs w:val="22"/>
                <w:color w:val="auto"/>
              </w:rPr>
            </w:pPr>
          </w:p>
        </w:tc>
        <w:tc>
          <w:tcPr>
            <w:tcW w:w="20" w:type="dxa"/>
            <w:vAlign w:val="bottom"/>
            <w:tcBorders>
              <w:bottom w:val="single" w:sz="8" w:color="231F20"/>
            </w:tcBorders>
            <w:shd w:val="clear" w:color="auto" w:fill="EAEBEC"/>
          </w:tcPr>
          <w:p>
            <w:pPr>
              <w:spacing w:after="0"/>
              <w:rPr>
                <w:sz w:val="22"/>
                <w:szCs w:val="22"/>
                <w:color w:val="auto"/>
              </w:rPr>
            </w:pPr>
          </w:p>
        </w:tc>
        <w:tc>
          <w:tcPr>
            <w:tcW w:w="140" w:type="dxa"/>
            <w:vAlign w:val="bottom"/>
            <w:tcBorders>
              <w:bottom w:val="single" w:sz="8" w:color="231F20"/>
            </w:tcBorders>
            <w:shd w:val="clear" w:color="auto" w:fill="EAEBEC"/>
          </w:tcPr>
          <w:p>
            <w:pPr>
              <w:spacing w:after="0"/>
              <w:rPr>
                <w:sz w:val="22"/>
                <w:szCs w:val="22"/>
                <w:color w:val="auto"/>
              </w:rPr>
            </w:pPr>
          </w:p>
        </w:tc>
        <w:tc>
          <w:tcPr>
            <w:tcW w:w="160" w:type="dxa"/>
            <w:vAlign w:val="bottom"/>
            <w:tcBorders>
              <w:bottom w:val="single" w:sz="8" w:color="231F20"/>
            </w:tcBorders>
            <w:shd w:val="clear" w:color="auto" w:fill="EAEBEC"/>
          </w:tcPr>
          <w:p>
            <w:pPr>
              <w:spacing w:after="0"/>
              <w:rPr>
                <w:sz w:val="22"/>
                <w:szCs w:val="22"/>
                <w:color w:val="auto"/>
              </w:rPr>
            </w:pPr>
          </w:p>
        </w:tc>
        <w:tc>
          <w:tcPr>
            <w:tcW w:w="11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8,447</w:t>
            </w:r>
          </w:p>
        </w:tc>
        <w:tc>
          <w:tcPr>
            <w:tcW w:w="60" w:type="dxa"/>
            <w:vAlign w:val="bottom"/>
            <w:tcBorders>
              <w:bottom w:val="single" w:sz="8" w:color="EAEBEC"/>
            </w:tcBorders>
            <w:shd w:val="clear" w:color="auto" w:fill="EAEBEC"/>
          </w:tcPr>
          <w:p>
            <w:pPr>
              <w:spacing w:after="0"/>
              <w:rPr>
                <w:sz w:val="22"/>
                <w:szCs w:val="22"/>
                <w:color w:val="auto"/>
              </w:rPr>
            </w:pPr>
          </w:p>
        </w:tc>
      </w:tr>
      <w:tr>
        <w:trPr>
          <w:trHeight w:val="219"/>
        </w:trPr>
        <w:tc>
          <w:tcPr>
            <w:tcW w:w="22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Total lease liabilities</w:t>
            </w:r>
          </w:p>
        </w:tc>
        <w:tc>
          <w:tcPr>
            <w:tcW w:w="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231F20"/>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1,376,950</w:t>
            </w:r>
          </w:p>
        </w:tc>
        <w:tc>
          <w:tcPr>
            <w:tcW w:w="80" w:type="dxa"/>
            <w:vAlign w:val="bottom"/>
          </w:tcPr>
          <w:p>
            <w:pPr>
              <w:spacing w:after="0"/>
              <w:rPr>
                <w:sz w:val="19"/>
                <w:szCs w:val="19"/>
                <w:color w:val="auto"/>
              </w:rPr>
            </w:pPr>
          </w:p>
        </w:tc>
        <w:tc>
          <w:tcPr>
            <w:tcW w:w="320" w:type="dxa"/>
            <w:vAlign w:val="bottom"/>
            <w:tcBorders>
              <w:bottom w:val="single" w:sz="8" w:color="231F20"/>
            </w:tcBorders>
            <w:gridSpan w:val="3"/>
          </w:tcPr>
          <w:p>
            <w:pPr>
              <w:jc w:val="right"/>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11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1,357,399</w:t>
            </w:r>
          </w:p>
        </w:tc>
        <w:tc>
          <w:tcPr>
            <w:tcW w:w="6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9" w:lineRule="exact"/>
        <w:rPr>
          <w:sz w:val="20"/>
          <w:szCs w:val="20"/>
          <w:color w:val="auto"/>
        </w:rPr>
      </w:pPr>
    </w:p>
    <w:p>
      <w:pPr>
        <w:ind w:left="480" w:right="80" w:hanging="480"/>
        <w:spacing w:after="0" w:line="277" w:lineRule="auto"/>
        <w:tabs>
          <w:tab w:leader="none" w:pos="480" w:val="left"/>
        </w:tabs>
        <w:numPr>
          <w:ilvl w:val="0"/>
          <w:numId w:val="3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Finance lease right-of-use assets are recorded net of accumulated amortization of $30.1 million and $26.1 million as of January 31, 2026 and February 1, 2025, respectively.</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components of total lease cost are as follows (in thousands):</w:t>
      </w:r>
    </w:p>
    <w:p>
      <w:pPr>
        <w:spacing w:after="0" w:line="290"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231F20"/>
              </w:rPr>
              <w:t>Fiscal years ended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4"/>
        </w:trPr>
        <w:tc>
          <w:tcPr>
            <w:tcW w:w="426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w w:val="98"/>
              </w:rPr>
              <w:t>January 31,</w:t>
            </w: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February 1,</w:t>
            </w: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February 3,</w:t>
            </w:r>
          </w:p>
        </w:tc>
      </w:tr>
      <w:tr>
        <w:trPr>
          <w:trHeight w:val="203"/>
        </w:trPr>
        <w:tc>
          <w:tcPr>
            <w:tcW w:w="426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center"/>
              <w:ind w:right="83"/>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20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center"/>
              <w:ind w:right="123"/>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180" w:type="dxa"/>
            <w:vAlign w:val="bottom"/>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740" w:type="dxa"/>
            <w:vAlign w:val="bottom"/>
            <w:tcBorders>
              <w:bottom w:val="single" w:sz="8" w:color="231F20"/>
            </w:tcBorders>
          </w:tcPr>
          <w:p>
            <w:pPr>
              <w:jc w:val="center"/>
              <w:ind w:right="83"/>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80" w:type="dxa"/>
            <w:vAlign w:val="bottom"/>
          </w:tcPr>
          <w:p>
            <w:pPr>
              <w:spacing w:after="0"/>
              <w:rPr>
                <w:sz w:val="17"/>
                <w:szCs w:val="17"/>
                <w:color w:val="auto"/>
              </w:rPr>
            </w:pPr>
          </w:p>
        </w:tc>
      </w:tr>
      <w:tr>
        <w:trPr>
          <w:trHeight w:val="193"/>
        </w:trPr>
        <w:tc>
          <w:tcPr>
            <w:tcW w:w="426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20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18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(53 weeks)</w:t>
            </w:r>
          </w:p>
        </w:tc>
        <w:tc>
          <w:tcPr>
            <w:tcW w:w="80" w:type="dxa"/>
            <w:vAlign w:val="bottom"/>
          </w:tcPr>
          <w:p>
            <w:pPr>
              <w:spacing w:after="0"/>
              <w:rPr>
                <w:sz w:val="16"/>
                <w:szCs w:val="16"/>
                <w:color w:val="auto"/>
              </w:rPr>
            </w:pPr>
          </w:p>
        </w:tc>
      </w:tr>
      <w:tr>
        <w:trPr>
          <w:trHeight w:val="244"/>
        </w:trPr>
        <w:tc>
          <w:tcPr>
            <w:tcW w:w="42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Operating lease cost</w:t>
            </w:r>
          </w:p>
        </w:tc>
        <w:tc>
          <w:tcPr>
            <w:tcW w:w="1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411,812</w:t>
            </w:r>
          </w:p>
        </w:tc>
        <w:tc>
          <w:tcPr>
            <w:tcW w:w="200" w:type="dxa"/>
            <w:vAlign w:val="bottom"/>
            <w:shd w:val="clear" w:color="auto" w:fill="EAEBEC"/>
          </w:tcPr>
          <w:p>
            <w:pPr>
              <w:spacing w:after="0"/>
              <w:rPr>
                <w:sz w:val="21"/>
                <w:szCs w:val="21"/>
                <w:color w:val="auto"/>
              </w:rPr>
            </w:pPr>
          </w:p>
        </w:tc>
        <w:tc>
          <w:tcPr>
            <w:tcW w:w="1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414,396</w:t>
            </w:r>
          </w:p>
        </w:tc>
        <w:tc>
          <w:tcPr>
            <w:tcW w:w="180" w:type="dxa"/>
            <w:vAlign w:val="bottom"/>
            <w:shd w:val="clear" w:color="auto" w:fill="EAEBEC"/>
          </w:tcPr>
          <w:p>
            <w:pPr>
              <w:spacing w:after="0"/>
              <w:rPr>
                <w:sz w:val="21"/>
                <w:szCs w:val="21"/>
                <w:color w:val="auto"/>
              </w:rPr>
            </w:pPr>
          </w:p>
        </w:tc>
        <w:tc>
          <w:tcPr>
            <w:tcW w:w="1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429,056</w:t>
            </w:r>
          </w:p>
        </w:tc>
        <w:tc>
          <w:tcPr>
            <w:tcW w:w="80" w:type="dxa"/>
            <w:vAlign w:val="bottom"/>
            <w:shd w:val="clear" w:color="auto" w:fill="EAEBEC"/>
          </w:tcPr>
          <w:p>
            <w:pPr>
              <w:spacing w:after="0"/>
              <w:rPr>
                <w:sz w:val="21"/>
                <w:szCs w:val="21"/>
                <w:color w:val="auto"/>
              </w:rPr>
            </w:pPr>
          </w:p>
        </w:tc>
      </w:tr>
      <w:tr>
        <w:trPr>
          <w:trHeight w:val="244"/>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231F20"/>
              </w:rPr>
              <w:t>Finance lease cost:</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42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Amortization of right-of-use lease assets</w:t>
            </w:r>
          </w:p>
        </w:tc>
        <w:tc>
          <w:tcPr>
            <w:tcW w:w="180" w:type="dxa"/>
            <w:vAlign w:val="bottom"/>
            <w:shd w:val="clear" w:color="auto" w:fill="EAEBEC"/>
          </w:tcPr>
          <w:p>
            <w:pPr>
              <w:spacing w:after="0"/>
              <w:rPr>
                <w:sz w:val="21"/>
                <w:szCs w:val="21"/>
                <w:color w:val="auto"/>
              </w:rPr>
            </w:pPr>
          </w:p>
        </w:tc>
        <w:tc>
          <w:tcPr>
            <w:tcW w:w="7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4,709</w:t>
            </w:r>
          </w:p>
        </w:tc>
        <w:tc>
          <w:tcPr>
            <w:tcW w:w="20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7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4,524</w:t>
            </w:r>
          </w:p>
        </w:tc>
        <w:tc>
          <w:tcPr>
            <w:tcW w:w="18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7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5,838</w:t>
            </w:r>
          </w:p>
        </w:tc>
        <w:tc>
          <w:tcPr>
            <w:tcW w:w="80" w:type="dxa"/>
            <w:vAlign w:val="bottom"/>
            <w:shd w:val="clear" w:color="auto" w:fill="EAEBEC"/>
          </w:tcPr>
          <w:p>
            <w:pPr>
              <w:spacing w:after="0"/>
              <w:rPr>
                <w:sz w:val="21"/>
                <w:szCs w:val="21"/>
                <w:color w:val="auto"/>
              </w:rPr>
            </w:pPr>
          </w:p>
        </w:tc>
      </w:tr>
      <w:tr>
        <w:trPr>
          <w:trHeight w:val="244"/>
        </w:trPr>
        <w:tc>
          <w:tcPr>
            <w:tcW w:w="4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on lease liabilities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1,250</w:t>
            </w:r>
          </w:p>
        </w:tc>
        <w:tc>
          <w:tcPr>
            <w:tcW w:w="80" w:type="dxa"/>
            <w:vAlign w:val="bottom"/>
          </w:tcPr>
          <w:p>
            <w:pPr>
              <w:spacing w:after="0"/>
              <w:rPr>
                <w:sz w:val="21"/>
                <w:szCs w:val="21"/>
                <w:color w:val="auto"/>
              </w:rPr>
            </w:pPr>
          </w:p>
        </w:tc>
      </w:tr>
      <w:tr>
        <w:trPr>
          <w:trHeight w:val="244"/>
        </w:trPr>
        <w:tc>
          <w:tcPr>
            <w:tcW w:w="42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Variable lease cost</w:t>
            </w:r>
          </w:p>
        </w:tc>
        <w:tc>
          <w:tcPr>
            <w:tcW w:w="180" w:type="dxa"/>
            <w:vAlign w:val="bottom"/>
            <w:shd w:val="clear" w:color="auto" w:fill="EAEBEC"/>
          </w:tcPr>
          <w:p>
            <w:pPr>
              <w:spacing w:after="0"/>
              <w:rPr>
                <w:sz w:val="21"/>
                <w:szCs w:val="21"/>
                <w:color w:val="auto"/>
              </w:rPr>
            </w:pPr>
          </w:p>
        </w:tc>
        <w:tc>
          <w:tcPr>
            <w:tcW w:w="7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126,290</w:t>
            </w:r>
          </w:p>
        </w:tc>
        <w:tc>
          <w:tcPr>
            <w:tcW w:w="20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7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128,716</w:t>
            </w:r>
          </w:p>
        </w:tc>
        <w:tc>
          <w:tcPr>
            <w:tcW w:w="18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7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119,361</w:t>
            </w:r>
          </w:p>
        </w:tc>
        <w:tc>
          <w:tcPr>
            <w:tcW w:w="80" w:type="dxa"/>
            <w:vAlign w:val="bottom"/>
            <w:shd w:val="clear" w:color="auto" w:fill="EAEBEC"/>
          </w:tcPr>
          <w:p>
            <w:pPr>
              <w:spacing w:after="0"/>
              <w:rPr>
                <w:sz w:val="21"/>
                <w:szCs w:val="21"/>
                <w:color w:val="auto"/>
              </w:rPr>
            </w:pPr>
          </w:p>
        </w:tc>
      </w:tr>
      <w:tr>
        <w:trPr>
          <w:trHeight w:val="244"/>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231F20"/>
              </w:rPr>
              <w:t>Sublease income</w:t>
            </w:r>
          </w:p>
        </w:tc>
        <w:tc>
          <w:tcPr>
            <w:tcW w:w="18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(1,060)</w:t>
            </w:r>
          </w:p>
        </w:tc>
        <w:tc>
          <w:tcPr>
            <w:tcW w:w="18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(1,508)</w:t>
            </w:r>
          </w:p>
        </w:tc>
        <w:tc>
          <w:tcPr>
            <w:tcW w:w="1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(2,241)</w:t>
            </w:r>
          </w:p>
        </w:tc>
      </w:tr>
      <w:tr>
        <w:trPr>
          <w:trHeight w:val="259"/>
        </w:trPr>
        <w:tc>
          <w:tcPr>
            <w:tcW w:w="4260" w:type="dxa"/>
            <w:vAlign w:val="bottom"/>
            <w:tcBorders>
              <w:top w:val="single" w:sz="8" w:color="EAEBEC"/>
              <w:bottom w:val="single" w:sz="8" w:color="EAEBEC"/>
            </w:tcBorders>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Total lease cost</w:t>
            </w:r>
          </w:p>
        </w:tc>
        <w:tc>
          <w:tcPr>
            <w:tcW w:w="18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74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542,550</w:t>
            </w:r>
          </w:p>
        </w:tc>
        <w:tc>
          <w:tcPr>
            <w:tcW w:w="200" w:type="dxa"/>
            <w:vAlign w:val="bottom"/>
            <w:tcBorders>
              <w:top w:val="single" w:sz="8" w:color="EAEBEC"/>
              <w:bottom w:val="single" w:sz="8" w:color="EAEBEC"/>
            </w:tcBorders>
            <w:shd w:val="clear" w:color="auto" w:fill="EAEBEC"/>
          </w:tcPr>
          <w:p>
            <w:pPr>
              <w:spacing w:after="0"/>
              <w:rPr>
                <w:sz w:val="22"/>
                <w:szCs w:val="22"/>
                <w:color w:val="auto"/>
              </w:rPr>
            </w:pPr>
          </w:p>
        </w:tc>
        <w:tc>
          <w:tcPr>
            <w:tcW w:w="18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74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547,012</w:t>
            </w:r>
          </w:p>
        </w:tc>
        <w:tc>
          <w:tcPr>
            <w:tcW w:w="180" w:type="dxa"/>
            <w:vAlign w:val="bottom"/>
            <w:tcBorders>
              <w:top w:val="single" w:sz="8" w:color="EAEBEC"/>
              <w:bottom w:val="single" w:sz="8" w:color="EAEBEC"/>
            </w:tcBorders>
            <w:shd w:val="clear" w:color="auto" w:fill="EAEBEC"/>
          </w:tcPr>
          <w:p>
            <w:pPr>
              <w:spacing w:after="0"/>
              <w:rPr>
                <w:sz w:val="22"/>
                <w:szCs w:val="22"/>
                <w:color w:val="auto"/>
              </w:rPr>
            </w:pPr>
          </w:p>
        </w:tc>
        <w:tc>
          <w:tcPr>
            <w:tcW w:w="18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74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553,264</w:t>
            </w:r>
          </w:p>
        </w:tc>
        <w:tc>
          <w:tcPr>
            <w:tcW w:w="80" w:type="dxa"/>
            <w:vAlign w:val="bottom"/>
            <w:tcBorders>
              <w:top w:val="single" w:sz="8" w:color="EAEBEC"/>
              <w:bottom w:val="single" w:sz="8" w:color="EAEBEC"/>
            </w:tcBorders>
            <w:shd w:val="clear" w:color="auto" w:fill="EAEBEC"/>
          </w:tcPr>
          <w:p>
            <w:pPr>
              <w:spacing w:after="0"/>
              <w:rPr>
                <w:sz w:val="22"/>
                <w:szCs w:val="22"/>
                <w:color w:val="auto"/>
              </w:rPr>
            </w:pPr>
          </w:p>
        </w:tc>
      </w:tr>
      <w:tr>
        <w:trPr>
          <w:trHeight w:val="20"/>
        </w:trPr>
        <w:tc>
          <w:tcPr>
            <w:tcW w:w="42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3286125</wp:posOffset>
            </wp:positionH>
            <wp:positionV relativeFrom="paragraph">
              <wp:posOffset>-1523365</wp:posOffset>
            </wp:positionV>
            <wp:extent cx="202946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3">
                      <a:extLst>
                        <a:ext uri="{28A0092B-C50C-407E-A947-70E740481C1C}"/>
                      </a:extLst>
                    </a:blip>
                    <a:srcRect/>
                    <a:stretch>
                      <a:fillRect/>
                    </a:stretch>
                  </pic:blipFill>
                  <pic:spPr bwMode="auto">
                    <a:xfrm>
                      <a:off x="0" y="0"/>
                      <a:ext cx="2029460" cy="38100"/>
                    </a:xfrm>
                    <a:prstGeom prst="rect">
                      <a:avLst/>
                    </a:prstGeom>
                    <a:noFill/>
                  </pic:spPr>
                </pic:pic>
              </a:graphicData>
            </a:graphic>
          </wp:anchor>
        </w:drawing>
      </w:r>
    </w:p>
    <w:p>
      <w:pPr>
        <w:sectPr>
          <w:pgSz w:w="11880" w:h="15480" w:orient="portrait"/>
          <w:cols w:equalWidth="0" w:num="1">
            <w:col w:w="9360"/>
          </w:cols>
          <w:pgMar w:left="1260" w:top="14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82</w:t>
      </w:r>
    </w:p>
    <w:p>
      <w:pPr>
        <w:sectPr>
          <w:pgSz w:w="11880" w:h="15480" w:orient="portrait"/>
          <w:cols w:equalWidth="0" w:num="1">
            <w:col w:w="9360"/>
          </w:cols>
          <w:pgMar w:left="1260" w:top="1440" w:right="1260" w:bottom="0" w:gutter="0" w:footer="0" w:header="0"/>
          <w:type w:val="continuous"/>
        </w:sectPr>
      </w:pPr>
    </w:p>
    <w:bookmarkStart w:id="92" w:name="page93"/>
    <w:bookmarkEnd w:id="92"/>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Other information for the Company’s leases is as follows (in thousands):</w:t>
      </w:r>
    </w:p>
    <w:p>
      <w:pPr>
        <w:spacing w:after="0" w:line="290"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7"/>
          </w:tcPr>
          <w:p>
            <w:pPr>
              <w:jc w:val="center"/>
              <w:ind w:right="7"/>
              <w:spacing w:after="0"/>
              <w:rPr>
                <w:sz w:val="20"/>
                <w:szCs w:val="20"/>
                <w:color w:val="auto"/>
              </w:rPr>
            </w:pPr>
            <w:r>
              <w:rPr>
                <w:rFonts w:ascii="Times New Roman" w:cs="Times New Roman" w:eastAsia="Times New Roman" w:hAnsi="Times New Roman"/>
                <w:sz w:val="16"/>
                <w:szCs w:val="16"/>
                <w:b w:val="1"/>
                <w:bCs w:val="1"/>
                <w:color w:val="231F20"/>
                <w:w w:val="98"/>
              </w:rPr>
              <w:t>Fiscal years ended</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4260" w:type="dxa"/>
            <w:vAlign w:val="bottom"/>
          </w:tcPr>
          <w:p>
            <w:pPr>
              <w:spacing w:after="0"/>
              <w:rPr>
                <w:sz w:val="16"/>
                <w:szCs w:val="16"/>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231F20"/>
              </w:rPr>
              <w:t>January 31,</w:t>
            </w:r>
          </w:p>
        </w:tc>
        <w:tc>
          <w:tcPr>
            <w:tcW w:w="180" w:type="dxa"/>
            <w:vAlign w:val="bottom"/>
          </w:tcPr>
          <w:p>
            <w:pPr>
              <w:spacing w:after="0"/>
              <w:rPr>
                <w:sz w:val="16"/>
                <w:szCs w:val="16"/>
                <w:color w:val="auto"/>
              </w:rPr>
            </w:pPr>
          </w:p>
        </w:tc>
        <w:tc>
          <w:tcPr>
            <w:tcW w:w="94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c>
          <w:tcPr>
            <w:tcW w:w="160" w:type="dxa"/>
            <w:vAlign w:val="bottom"/>
          </w:tcPr>
          <w:p>
            <w:pPr>
              <w:spacing w:after="0"/>
              <w:rPr>
                <w:sz w:val="16"/>
                <w:szCs w:val="16"/>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231F20"/>
              </w:rPr>
              <w:t>February 3,</w:t>
            </w:r>
          </w:p>
        </w:tc>
      </w:tr>
      <w:tr>
        <w:trPr>
          <w:trHeight w:val="203"/>
        </w:trPr>
        <w:tc>
          <w:tcPr>
            <w:tcW w:w="426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620" w:type="dxa"/>
            <w:vAlign w:val="bottom"/>
            <w:tcBorders>
              <w:bottom w:val="single" w:sz="8" w:color="231F20"/>
            </w:tcBorders>
          </w:tcPr>
          <w:p>
            <w:pPr>
              <w:jc w:val="center"/>
              <w:ind w:left="5"/>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220" w:type="dxa"/>
            <w:vAlign w:val="bottom"/>
            <w:tcBorders>
              <w:bottom w:val="single" w:sz="8" w:color="231F20"/>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800" w:type="dxa"/>
            <w:vAlign w:val="bottom"/>
            <w:tcBorders>
              <w:bottom w:val="single" w:sz="8" w:color="231F20"/>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40" w:type="dxa"/>
            <w:vAlign w:val="bottom"/>
            <w:tcBorders>
              <w:bottom w:val="single" w:sz="8" w:color="231F20"/>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tcPr>
          <w:p>
            <w:pPr>
              <w:jc w:val="right"/>
              <w:ind w:right="86"/>
              <w:spacing w:after="0"/>
              <w:rPr>
                <w:sz w:val="20"/>
                <w:szCs w:val="20"/>
                <w:color w:val="auto"/>
              </w:rPr>
            </w:pPr>
            <w:r>
              <w:rPr>
                <w:rFonts w:ascii="Times New Roman" w:cs="Times New Roman" w:eastAsia="Times New Roman" w:hAnsi="Times New Roman"/>
                <w:sz w:val="16"/>
                <w:szCs w:val="16"/>
                <w:b w:val="1"/>
                <w:bCs w:val="1"/>
                <w:color w:val="231F20"/>
              </w:rPr>
              <w:t>2024</w:t>
            </w:r>
          </w:p>
        </w:tc>
        <w:tc>
          <w:tcPr>
            <w:tcW w:w="140" w:type="dxa"/>
            <w:vAlign w:val="bottom"/>
            <w:tcBorders>
              <w:bottom w:val="single" w:sz="8" w:color="231F20"/>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30"/>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rPr>
              <w:t>(53 weeks)</w:t>
            </w:r>
          </w:p>
        </w:tc>
        <w:tc>
          <w:tcPr>
            <w:tcW w:w="60" w:type="dxa"/>
            <w:vAlign w:val="bottom"/>
          </w:tcPr>
          <w:p>
            <w:pPr>
              <w:spacing w:after="0"/>
              <w:rPr>
                <w:sz w:val="16"/>
                <w:szCs w:val="16"/>
                <w:color w:val="auto"/>
              </w:rPr>
            </w:pPr>
          </w:p>
        </w:tc>
      </w:tr>
      <w:tr>
        <w:trPr>
          <w:trHeight w:val="225"/>
        </w:trPr>
        <w:tc>
          <w:tcPr>
            <w:tcW w:w="4260" w:type="dxa"/>
            <w:vAlign w:val="bottom"/>
            <w:shd w:val="clear" w:color="auto" w:fill="EAEBEC"/>
          </w:tcPr>
          <w:p>
            <w:pPr>
              <w:spacing w:after="0" w:line="225" w:lineRule="exact"/>
              <w:rPr>
                <w:sz w:val="20"/>
                <w:szCs w:val="20"/>
                <w:color w:val="auto"/>
              </w:rPr>
            </w:pPr>
            <w:r>
              <w:rPr>
                <w:rFonts w:ascii="Times New Roman" w:cs="Times New Roman" w:eastAsia="Times New Roman" w:hAnsi="Times New Roman"/>
                <w:sz w:val="20"/>
                <w:szCs w:val="20"/>
                <w:color w:val="231F20"/>
              </w:rPr>
              <w:t>Cash paid for amounts included in the</w:t>
            </w:r>
          </w:p>
        </w:tc>
        <w:tc>
          <w:tcPr>
            <w:tcW w:w="100" w:type="dxa"/>
            <w:vAlign w:val="bottom"/>
            <w:shd w:val="clear" w:color="auto" w:fill="EAEBEC"/>
          </w:tcPr>
          <w:p>
            <w:pPr>
              <w:spacing w:after="0"/>
              <w:rPr>
                <w:sz w:val="19"/>
                <w:szCs w:val="19"/>
                <w:color w:val="auto"/>
              </w:rPr>
            </w:pPr>
          </w:p>
        </w:tc>
        <w:tc>
          <w:tcPr>
            <w:tcW w:w="620" w:type="dxa"/>
            <w:vAlign w:val="bottom"/>
            <w:shd w:val="clear" w:color="auto" w:fill="EAEBEC"/>
          </w:tcPr>
          <w:p>
            <w:pPr>
              <w:spacing w:after="0"/>
              <w:rPr>
                <w:sz w:val="19"/>
                <w:szCs w:val="19"/>
                <w:color w:val="auto"/>
              </w:rPr>
            </w:pPr>
          </w:p>
        </w:tc>
        <w:tc>
          <w:tcPr>
            <w:tcW w:w="220" w:type="dxa"/>
            <w:vAlign w:val="bottom"/>
            <w:shd w:val="clear" w:color="auto" w:fill="EAEBEC"/>
          </w:tcPr>
          <w:p>
            <w:pPr>
              <w:spacing w:after="0"/>
              <w:rPr>
                <w:sz w:val="19"/>
                <w:szCs w:val="19"/>
                <w:color w:val="auto"/>
              </w:rPr>
            </w:pPr>
          </w:p>
        </w:tc>
        <w:tc>
          <w:tcPr>
            <w:tcW w:w="180" w:type="dxa"/>
            <w:vAlign w:val="bottom"/>
            <w:shd w:val="clear" w:color="auto" w:fill="EAEBEC"/>
          </w:tcPr>
          <w:p>
            <w:pPr>
              <w:spacing w:after="0"/>
              <w:rPr>
                <w:sz w:val="19"/>
                <w:szCs w:val="19"/>
                <w:color w:val="auto"/>
              </w:rPr>
            </w:pPr>
          </w:p>
        </w:tc>
        <w:tc>
          <w:tcPr>
            <w:tcW w:w="100" w:type="dxa"/>
            <w:vAlign w:val="bottom"/>
            <w:shd w:val="clear" w:color="auto" w:fill="EAEBEC"/>
          </w:tcPr>
          <w:p>
            <w:pPr>
              <w:spacing w:after="0"/>
              <w:rPr>
                <w:sz w:val="19"/>
                <w:szCs w:val="19"/>
                <w:color w:val="auto"/>
              </w:rPr>
            </w:pPr>
          </w:p>
        </w:tc>
        <w:tc>
          <w:tcPr>
            <w:tcW w:w="480" w:type="dxa"/>
            <w:vAlign w:val="bottom"/>
            <w:shd w:val="clear" w:color="auto" w:fill="EAEBEC"/>
          </w:tcPr>
          <w:p>
            <w:pPr>
              <w:spacing w:after="0"/>
              <w:rPr>
                <w:sz w:val="19"/>
                <w:szCs w:val="19"/>
                <w:color w:val="auto"/>
              </w:rPr>
            </w:pPr>
          </w:p>
        </w:tc>
        <w:tc>
          <w:tcPr>
            <w:tcW w:w="320" w:type="dxa"/>
            <w:vAlign w:val="bottom"/>
            <w:shd w:val="clear" w:color="auto" w:fill="EAEBEC"/>
          </w:tcPr>
          <w:p>
            <w:pPr>
              <w:spacing w:after="0"/>
              <w:rPr>
                <w:sz w:val="19"/>
                <w:szCs w:val="19"/>
                <w:color w:val="auto"/>
              </w:rPr>
            </w:pPr>
          </w:p>
        </w:tc>
        <w:tc>
          <w:tcPr>
            <w:tcW w:w="40" w:type="dxa"/>
            <w:vAlign w:val="bottom"/>
            <w:shd w:val="clear" w:color="auto" w:fill="EAEBEC"/>
          </w:tcPr>
          <w:p>
            <w:pPr>
              <w:spacing w:after="0"/>
              <w:rPr>
                <w:sz w:val="19"/>
                <w:szCs w:val="19"/>
                <w:color w:val="auto"/>
              </w:rPr>
            </w:pPr>
          </w:p>
        </w:tc>
        <w:tc>
          <w:tcPr>
            <w:tcW w:w="160" w:type="dxa"/>
            <w:vAlign w:val="bottom"/>
            <w:shd w:val="clear" w:color="auto" w:fill="EAEBEC"/>
          </w:tcPr>
          <w:p>
            <w:pPr>
              <w:spacing w:after="0"/>
              <w:rPr>
                <w:sz w:val="19"/>
                <w:szCs w:val="19"/>
                <w:color w:val="auto"/>
              </w:rPr>
            </w:pPr>
          </w:p>
        </w:tc>
        <w:tc>
          <w:tcPr>
            <w:tcW w:w="100" w:type="dxa"/>
            <w:vAlign w:val="bottom"/>
            <w:shd w:val="clear" w:color="auto" w:fill="EAEBEC"/>
          </w:tcPr>
          <w:p>
            <w:pPr>
              <w:spacing w:after="0"/>
              <w:rPr>
                <w:sz w:val="19"/>
                <w:szCs w:val="19"/>
                <w:color w:val="auto"/>
              </w:rPr>
            </w:pPr>
          </w:p>
        </w:tc>
        <w:tc>
          <w:tcPr>
            <w:tcW w:w="700" w:type="dxa"/>
            <w:vAlign w:val="bottom"/>
            <w:shd w:val="clear" w:color="auto" w:fill="EAEBEC"/>
          </w:tcPr>
          <w:p>
            <w:pPr>
              <w:spacing w:after="0"/>
              <w:rPr>
                <w:sz w:val="19"/>
                <w:szCs w:val="19"/>
                <w:color w:val="auto"/>
              </w:rPr>
            </w:pPr>
          </w:p>
        </w:tc>
        <w:tc>
          <w:tcPr>
            <w:tcW w:w="140" w:type="dxa"/>
            <w:vAlign w:val="bottom"/>
            <w:shd w:val="clear" w:color="auto" w:fill="EAEBEC"/>
          </w:tcPr>
          <w:p>
            <w:pPr>
              <w:spacing w:after="0"/>
              <w:rPr>
                <w:sz w:val="19"/>
                <w:szCs w:val="19"/>
                <w:color w:val="auto"/>
              </w:rPr>
            </w:pPr>
          </w:p>
        </w:tc>
        <w:tc>
          <w:tcPr>
            <w:tcW w:w="60" w:type="dxa"/>
            <w:vAlign w:val="bottom"/>
            <w:shd w:val="clear" w:color="auto" w:fill="EAEBEC"/>
          </w:tcPr>
          <w:p>
            <w:pPr>
              <w:spacing w:after="0"/>
              <w:rPr>
                <w:sz w:val="19"/>
                <w:szCs w:val="19"/>
                <w:color w:val="auto"/>
              </w:rPr>
            </w:pPr>
          </w:p>
        </w:tc>
      </w:tr>
      <w:tr>
        <w:trPr>
          <w:trHeight w:val="230"/>
        </w:trPr>
        <w:tc>
          <w:tcPr>
            <w:tcW w:w="42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measurement</w:t>
            </w:r>
          </w:p>
        </w:tc>
        <w:tc>
          <w:tcPr>
            <w:tcW w:w="100" w:type="dxa"/>
            <w:vAlign w:val="bottom"/>
            <w:shd w:val="clear" w:color="auto" w:fill="EAEBEC"/>
          </w:tcPr>
          <w:p>
            <w:pPr>
              <w:spacing w:after="0"/>
              <w:rPr>
                <w:sz w:val="20"/>
                <w:szCs w:val="20"/>
                <w:color w:val="auto"/>
              </w:rPr>
            </w:pPr>
          </w:p>
        </w:tc>
        <w:tc>
          <w:tcPr>
            <w:tcW w:w="620" w:type="dxa"/>
            <w:vAlign w:val="bottom"/>
            <w:shd w:val="clear" w:color="auto" w:fill="EAEBEC"/>
          </w:tcPr>
          <w:p>
            <w:pPr>
              <w:spacing w:after="0"/>
              <w:rPr>
                <w:sz w:val="20"/>
                <w:szCs w:val="20"/>
                <w:color w:val="auto"/>
              </w:rPr>
            </w:pPr>
          </w:p>
        </w:tc>
        <w:tc>
          <w:tcPr>
            <w:tcW w:w="220" w:type="dxa"/>
            <w:vAlign w:val="bottom"/>
            <w:shd w:val="clear" w:color="auto" w:fill="EAEBEC"/>
          </w:tcPr>
          <w:p>
            <w:pPr>
              <w:spacing w:after="0"/>
              <w:rPr>
                <w:sz w:val="20"/>
                <w:szCs w:val="20"/>
                <w:color w:val="auto"/>
              </w:rPr>
            </w:pPr>
          </w:p>
        </w:tc>
        <w:tc>
          <w:tcPr>
            <w:tcW w:w="180" w:type="dxa"/>
            <w:vAlign w:val="bottom"/>
            <w:shd w:val="clear" w:color="auto" w:fill="EAEBEC"/>
          </w:tcPr>
          <w:p>
            <w:pPr>
              <w:spacing w:after="0"/>
              <w:rPr>
                <w:sz w:val="20"/>
                <w:szCs w:val="20"/>
                <w:color w:val="auto"/>
              </w:rPr>
            </w:pPr>
          </w:p>
        </w:tc>
        <w:tc>
          <w:tcPr>
            <w:tcW w:w="100" w:type="dxa"/>
            <w:vAlign w:val="bottom"/>
            <w:shd w:val="clear" w:color="auto" w:fill="EAEBEC"/>
          </w:tcPr>
          <w:p>
            <w:pPr>
              <w:spacing w:after="0"/>
              <w:rPr>
                <w:sz w:val="20"/>
                <w:szCs w:val="20"/>
                <w:color w:val="auto"/>
              </w:rPr>
            </w:pPr>
          </w:p>
        </w:tc>
        <w:tc>
          <w:tcPr>
            <w:tcW w:w="480" w:type="dxa"/>
            <w:vAlign w:val="bottom"/>
            <w:shd w:val="clear" w:color="auto" w:fill="EAEBEC"/>
          </w:tcPr>
          <w:p>
            <w:pPr>
              <w:spacing w:after="0"/>
              <w:rPr>
                <w:sz w:val="20"/>
                <w:szCs w:val="20"/>
                <w:color w:val="auto"/>
              </w:rPr>
            </w:pPr>
          </w:p>
        </w:tc>
        <w:tc>
          <w:tcPr>
            <w:tcW w:w="320" w:type="dxa"/>
            <w:vAlign w:val="bottom"/>
            <w:shd w:val="clear" w:color="auto" w:fill="EAEBEC"/>
          </w:tcPr>
          <w:p>
            <w:pPr>
              <w:spacing w:after="0"/>
              <w:rPr>
                <w:sz w:val="20"/>
                <w:szCs w:val="20"/>
                <w:color w:val="auto"/>
              </w:rPr>
            </w:pPr>
          </w:p>
        </w:tc>
        <w:tc>
          <w:tcPr>
            <w:tcW w:w="40" w:type="dxa"/>
            <w:vAlign w:val="bottom"/>
            <w:shd w:val="clear" w:color="auto" w:fill="EAEBEC"/>
          </w:tcPr>
          <w:p>
            <w:pPr>
              <w:spacing w:after="0"/>
              <w:rPr>
                <w:sz w:val="20"/>
                <w:szCs w:val="20"/>
                <w:color w:val="auto"/>
              </w:rPr>
            </w:pPr>
          </w:p>
        </w:tc>
        <w:tc>
          <w:tcPr>
            <w:tcW w:w="160" w:type="dxa"/>
            <w:vAlign w:val="bottom"/>
            <w:shd w:val="clear" w:color="auto" w:fill="EAEBEC"/>
          </w:tcPr>
          <w:p>
            <w:pPr>
              <w:spacing w:after="0"/>
              <w:rPr>
                <w:sz w:val="20"/>
                <w:szCs w:val="20"/>
                <w:color w:val="auto"/>
              </w:rPr>
            </w:pPr>
          </w:p>
        </w:tc>
        <w:tc>
          <w:tcPr>
            <w:tcW w:w="100" w:type="dxa"/>
            <w:vAlign w:val="bottom"/>
            <w:shd w:val="clear" w:color="auto" w:fill="EAEBEC"/>
          </w:tcPr>
          <w:p>
            <w:pPr>
              <w:spacing w:after="0"/>
              <w:rPr>
                <w:sz w:val="20"/>
                <w:szCs w:val="20"/>
                <w:color w:val="auto"/>
              </w:rPr>
            </w:pPr>
          </w:p>
        </w:tc>
        <w:tc>
          <w:tcPr>
            <w:tcW w:w="70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60" w:type="dxa"/>
            <w:vAlign w:val="bottom"/>
            <w:shd w:val="clear" w:color="auto" w:fill="EAEBEC"/>
          </w:tcPr>
          <w:p>
            <w:pPr>
              <w:spacing w:after="0"/>
              <w:rPr>
                <w:sz w:val="20"/>
                <w:szCs w:val="20"/>
                <w:color w:val="auto"/>
              </w:rPr>
            </w:pPr>
          </w:p>
        </w:tc>
      </w:tr>
      <w:tr>
        <w:trPr>
          <w:trHeight w:val="249"/>
        </w:trPr>
        <w:tc>
          <w:tcPr>
            <w:tcW w:w="4260" w:type="dxa"/>
            <w:vAlign w:val="bottom"/>
            <w:shd w:val="clear" w:color="auto" w:fill="EAEBEC"/>
          </w:tcPr>
          <w:p>
            <w:pPr>
              <w:ind w:left="140"/>
              <w:spacing w:after="0"/>
              <w:rPr>
                <w:sz w:val="20"/>
                <w:szCs w:val="20"/>
                <w:color w:val="auto"/>
              </w:rPr>
            </w:pPr>
            <w:r>
              <w:rPr>
                <w:rFonts w:ascii="Times New Roman" w:cs="Times New Roman" w:eastAsia="Times New Roman" w:hAnsi="Times New Roman"/>
                <w:sz w:val="20"/>
                <w:szCs w:val="20"/>
                <w:color w:val="231F20"/>
              </w:rPr>
              <w:t>of lease liabilities:</w:t>
            </w:r>
          </w:p>
        </w:tc>
        <w:tc>
          <w:tcPr>
            <w:tcW w:w="100" w:type="dxa"/>
            <w:vAlign w:val="bottom"/>
            <w:shd w:val="clear" w:color="auto" w:fill="EAEBEC"/>
          </w:tcPr>
          <w:p>
            <w:pPr>
              <w:spacing w:after="0"/>
              <w:rPr>
                <w:sz w:val="21"/>
                <w:szCs w:val="21"/>
                <w:color w:val="auto"/>
              </w:rPr>
            </w:pPr>
          </w:p>
        </w:tc>
        <w:tc>
          <w:tcPr>
            <w:tcW w:w="620" w:type="dxa"/>
            <w:vAlign w:val="bottom"/>
            <w:shd w:val="clear" w:color="auto" w:fill="EAEBEC"/>
          </w:tcPr>
          <w:p>
            <w:pPr>
              <w:spacing w:after="0"/>
              <w:rPr>
                <w:sz w:val="21"/>
                <w:szCs w:val="21"/>
                <w:color w:val="auto"/>
              </w:rPr>
            </w:pPr>
          </w:p>
        </w:tc>
        <w:tc>
          <w:tcPr>
            <w:tcW w:w="22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480" w:type="dxa"/>
            <w:vAlign w:val="bottom"/>
            <w:shd w:val="clear" w:color="auto" w:fill="EAEBEC"/>
          </w:tcPr>
          <w:p>
            <w:pPr>
              <w:spacing w:after="0"/>
              <w:rPr>
                <w:sz w:val="21"/>
                <w:szCs w:val="21"/>
                <w:color w:val="auto"/>
              </w:rPr>
            </w:pPr>
          </w:p>
        </w:tc>
        <w:tc>
          <w:tcPr>
            <w:tcW w:w="320" w:type="dxa"/>
            <w:vAlign w:val="bottom"/>
            <w:shd w:val="clear" w:color="auto" w:fill="EAEBEC"/>
          </w:tcPr>
          <w:p>
            <w:pPr>
              <w:spacing w:after="0"/>
              <w:rPr>
                <w:sz w:val="21"/>
                <w:szCs w:val="21"/>
                <w:color w:val="auto"/>
              </w:rPr>
            </w:pPr>
          </w:p>
        </w:tc>
        <w:tc>
          <w:tcPr>
            <w:tcW w:w="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7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60" w:type="dxa"/>
            <w:vAlign w:val="bottom"/>
            <w:shd w:val="clear" w:color="auto" w:fill="EAEBEC"/>
          </w:tcPr>
          <w:p>
            <w:pPr>
              <w:spacing w:after="0"/>
              <w:rPr>
                <w:sz w:val="21"/>
                <w:szCs w:val="21"/>
                <w:color w:val="auto"/>
              </w:rPr>
            </w:pPr>
          </w:p>
        </w:tc>
      </w:tr>
      <w:tr>
        <w:trPr>
          <w:trHeight w:val="244"/>
        </w:trPr>
        <w:tc>
          <w:tcPr>
            <w:tcW w:w="4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cash flows from operating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371,134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418,219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446,981</w:t>
            </w:r>
          </w:p>
        </w:tc>
        <w:tc>
          <w:tcPr>
            <w:tcW w:w="60" w:type="dxa"/>
            <w:vAlign w:val="bottom"/>
          </w:tcPr>
          <w:p>
            <w:pPr>
              <w:spacing w:after="0"/>
              <w:rPr>
                <w:sz w:val="21"/>
                <w:szCs w:val="21"/>
                <w:color w:val="auto"/>
              </w:rPr>
            </w:pPr>
          </w:p>
        </w:tc>
      </w:tr>
      <w:tr>
        <w:trPr>
          <w:trHeight w:val="244"/>
        </w:trPr>
        <w:tc>
          <w:tcPr>
            <w:tcW w:w="42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Operating cash flows from finance leases</w:t>
            </w:r>
          </w:p>
        </w:tc>
        <w:tc>
          <w:tcPr>
            <w:tcW w:w="1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851</w:t>
            </w:r>
          </w:p>
        </w:tc>
        <w:tc>
          <w:tcPr>
            <w:tcW w:w="28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3"/>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788</w:t>
            </w:r>
          </w:p>
        </w:tc>
        <w:tc>
          <w:tcPr>
            <w:tcW w:w="2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1,267</w:t>
            </w:r>
          </w:p>
        </w:tc>
        <w:tc>
          <w:tcPr>
            <w:tcW w:w="60" w:type="dxa"/>
            <w:vAlign w:val="bottom"/>
            <w:shd w:val="clear" w:color="auto" w:fill="EAEBEC"/>
          </w:tcPr>
          <w:p>
            <w:pPr>
              <w:spacing w:after="0"/>
              <w:rPr>
                <w:sz w:val="21"/>
                <w:szCs w:val="21"/>
                <w:color w:val="auto"/>
              </w:rPr>
            </w:pPr>
          </w:p>
        </w:tc>
      </w:tr>
      <w:tr>
        <w:trPr>
          <w:trHeight w:val="244"/>
        </w:trPr>
        <w:tc>
          <w:tcPr>
            <w:tcW w:w="4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Financing cash flows from finance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5,614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5,707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5,925</w:t>
            </w:r>
          </w:p>
        </w:tc>
        <w:tc>
          <w:tcPr>
            <w:tcW w:w="60" w:type="dxa"/>
            <w:vAlign w:val="bottom"/>
          </w:tcPr>
          <w:p>
            <w:pPr>
              <w:spacing w:after="0"/>
              <w:rPr>
                <w:sz w:val="21"/>
                <w:szCs w:val="21"/>
                <w:color w:val="auto"/>
              </w:rPr>
            </w:pPr>
          </w:p>
        </w:tc>
      </w:tr>
      <w:tr>
        <w:trPr>
          <w:trHeight w:val="225"/>
        </w:trPr>
        <w:tc>
          <w:tcPr>
            <w:tcW w:w="4260" w:type="dxa"/>
            <w:vAlign w:val="bottom"/>
            <w:shd w:val="clear" w:color="auto" w:fill="EAEBEC"/>
          </w:tcPr>
          <w:p>
            <w:pPr>
              <w:spacing w:after="0" w:line="225" w:lineRule="exact"/>
              <w:rPr>
                <w:sz w:val="20"/>
                <w:szCs w:val="20"/>
                <w:color w:val="auto"/>
              </w:rPr>
            </w:pPr>
            <w:r>
              <w:rPr>
                <w:rFonts w:ascii="Times New Roman" w:cs="Times New Roman" w:eastAsia="Times New Roman" w:hAnsi="Times New Roman"/>
                <w:sz w:val="20"/>
                <w:szCs w:val="20"/>
                <w:color w:val="231F20"/>
              </w:rPr>
              <w:t>Lease assets obtained in exchange for lease</w:t>
            </w:r>
          </w:p>
        </w:tc>
        <w:tc>
          <w:tcPr>
            <w:tcW w:w="100" w:type="dxa"/>
            <w:vAlign w:val="bottom"/>
            <w:shd w:val="clear" w:color="auto" w:fill="EAEBEC"/>
          </w:tcPr>
          <w:p>
            <w:pPr>
              <w:spacing w:after="0"/>
              <w:rPr>
                <w:sz w:val="19"/>
                <w:szCs w:val="19"/>
                <w:color w:val="auto"/>
              </w:rPr>
            </w:pPr>
          </w:p>
        </w:tc>
        <w:tc>
          <w:tcPr>
            <w:tcW w:w="620" w:type="dxa"/>
            <w:vAlign w:val="bottom"/>
            <w:shd w:val="clear" w:color="auto" w:fill="EAEBEC"/>
          </w:tcPr>
          <w:p>
            <w:pPr>
              <w:spacing w:after="0"/>
              <w:rPr>
                <w:sz w:val="19"/>
                <w:szCs w:val="19"/>
                <w:color w:val="auto"/>
              </w:rPr>
            </w:pPr>
          </w:p>
        </w:tc>
        <w:tc>
          <w:tcPr>
            <w:tcW w:w="220" w:type="dxa"/>
            <w:vAlign w:val="bottom"/>
            <w:shd w:val="clear" w:color="auto" w:fill="EAEBEC"/>
          </w:tcPr>
          <w:p>
            <w:pPr>
              <w:spacing w:after="0"/>
              <w:rPr>
                <w:sz w:val="19"/>
                <w:szCs w:val="19"/>
                <w:color w:val="auto"/>
              </w:rPr>
            </w:pPr>
          </w:p>
        </w:tc>
        <w:tc>
          <w:tcPr>
            <w:tcW w:w="180" w:type="dxa"/>
            <w:vAlign w:val="bottom"/>
            <w:shd w:val="clear" w:color="auto" w:fill="EAEBEC"/>
          </w:tcPr>
          <w:p>
            <w:pPr>
              <w:spacing w:after="0"/>
              <w:rPr>
                <w:sz w:val="19"/>
                <w:szCs w:val="19"/>
                <w:color w:val="auto"/>
              </w:rPr>
            </w:pPr>
          </w:p>
        </w:tc>
        <w:tc>
          <w:tcPr>
            <w:tcW w:w="100" w:type="dxa"/>
            <w:vAlign w:val="bottom"/>
            <w:shd w:val="clear" w:color="auto" w:fill="EAEBEC"/>
          </w:tcPr>
          <w:p>
            <w:pPr>
              <w:spacing w:after="0"/>
              <w:rPr>
                <w:sz w:val="19"/>
                <w:szCs w:val="19"/>
                <w:color w:val="auto"/>
              </w:rPr>
            </w:pPr>
          </w:p>
        </w:tc>
        <w:tc>
          <w:tcPr>
            <w:tcW w:w="480" w:type="dxa"/>
            <w:vAlign w:val="bottom"/>
            <w:shd w:val="clear" w:color="auto" w:fill="EAEBEC"/>
          </w:tcPr>
          <w:p>
            <w:pPr>
              <w:spacing w:after="0"/>
              <w:rPr>
                <w:sz w:val="19"/>
                <w:szCs w:val="19"/>
                <w:color w:val="auto"/>
              </w:rPr>
            </w:pPr>
          </w:p>
        </w:tc>
        <w:tc>
          <w:tcPr>
            <w:tcW w:w="320" w:type="dxa"/>
            <w:vAlign w:val="bottom"/>
            <w:shd w:val="clear" w:color="auto" w:fill="EAEBEC"/>
          </w:tcPr>
          <w:p>
            <w:pPr>
              <w:spacing w:after="0"/>
              <w:rPr>
                <w:sz w:val="19"/>
                <w:szCs w:val="19"/>
                <w:color w:val="auto"/>
              </w:rPr>
            </w:pPr>
          </w:p>
        </w:tc>
        <w:tc>
          <w:tcPr>
            <w:tcW w:w="40" w:type="dxa"/>
            <w:vAlign w:val="bottom"/>
            <w:shd w:val="clear" w:color="auto" w:fill="EAEBEC"/>
          </w:tcPr>
          <w:p>
            <w:pPr>
              <w:spacing w:after="0"/>
              <w:rPr>
                <w:sz w:val="19"/>
                <w:szCs w:val="19"/>
                <w:color w:val="auto"/>
              </w:rPr>
            </w:pPr>
          </w:p>
        </w:tc>
        <w:tc>
          <w:tcPr>
            <w:tcW w:w="160" w:type="dxa"/>
            <w:vAlign w:val="bottom"/>
            <w:shd w:val="clear" w:color="auto" w:fill="EAEBEC"/>
          </w:tcPr>
          <w:p>
            <w:pPr>
              <w:spacing w:after="0"/>
              <w:rPr>
                <w:sz w:val="19"/>
                <w:szCs w:val="19"/>
                <w:color w:val="auto"/>
              </w:rPr>
            </w:pPr>
          </w:p>
        </w:tc>
        <w:tc>
          <w:tcPr>
            <w:tcW w:w="100" w:type="dxa"/>
            <w:vAlign w:val="bottom"/>
            <w:shd w:val="clear" w:color="auto" w:fill="EAEBEC"/>
          </w:tcPr>
          <w:p>
            <w:pPr>
              <w:spacing w:after="0"/>
              <w:rPr>
                <w:sz w:val="19"/>
                <w:szCs w:val="19"/>
                <w:color w:val="auto"/>
              </w:rPr>
            </w:pPr>
          </w:p>
        </w:tc>
        <w:tc>
          <w:tcPr>
            <w:tcW w:w="700" w:type="dxa"/>
            <w:vAlign w:val="bottom"/>
            <w:shd w:val="clear" w:color="auto" w:fill="EAEBEC"/>
          </w:tcPr>
          <w:p>
            <w:pPr>
              <w:spacing w:after="0"/>
              <w:rPr>
                <w:sz w:val="19"/>
                <w:szCs w:val="19"/>
                <w:color w:val="auto"/>
              </w:rPr>
            </w:pPr>
          </w:p>
        </w:tc>
        <w:tc>
          <w:tcPr>
            <w:tcW w:w="140" w:type="dxa"/>
            <w:vAlign w:val="bottom"/>
            <w:shd w:val="clear" w:color="auto" w:fill="EAEBEC"/>
          </w:tcPr>
          <w:p>
            <w:pPr>
              <w:spacing w:after="0"/>
              <w:rPr>
                <w:sz w:val="19"/>
                <w:szCs w:val="19"/>
                <w:color w:val="auto"/>
              </w:rPr>
            </w:pPr>
          </w:p>
        </w:tc>
        <w:tc>
          <w:tcPr>
            <w:tcW w:w="60" w:type="dxa"/>
            <w:vAlign w:val="bottom"/>
            <w:shd w:val="clear" w:color="auto" w:fill="EAEBEC"/>
          </w:tcPr>
          <w:p>
            <w:pPr>
              <w:spacing w:after="0"/>
              <w:rPr>
                <w:sz w:val="19"/>
                <w:szCs w:val="19"/>
                <w:color w:val="auto"/>
              </w:rPr>
            </w:pPr>
          </w:p>
        </w:tc>
      </w:tr>
      <w:tr>
        <w:trPr>
          <w:trHeight w:val="249"/>
        </w:trPr>
        <w:tc>
          <w:tcPr>
            <w:tcW w:w="42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liabilities:</w:t>
            </w:r>
          </w:p>
        </w:tc>
        <w:tc>
          <w:tcPr>
            <w:tcW w:w="100" w:type="dxa"/>
            <w:vAlign w:val="bottom"/>
            <w:shd w:val="clear" w:color="auto" w:fill="EAEBEC"/>
          </w:tcPr>
          <w:p>
            <w:pPr>
              <w:spacing w:after="0"/>
              <w:rPr>
                <w:sz w:val="21"/>
                <w:szCs w:val="21"/>
                <w:color w:val="auto"/>
              </w:rPr>
            </w:pPr>
          </w:p>
        </w:tc>
        <w:tc>
          <w:tcPr>
            <w:tcW w:w="620" w:type="dxa"/>
            <w:vAlign w:val="bottom"/>
            <w:shd w:val="clear" w:color="auto" w:fill="EAEBEC"/>
          </w:tcPr>
          <w:p>
            <w:pPr>
              <w:spacing w:after="0"/>
              <w:rPr>
                <w:sz w:val="21"/>
                <w:szCs w:val="21"/>
                <w:color w:val="auto"/>
              </w:rPr>
            </w:pPr>
          </w:p>
        </w:tc>
        <w:tc>
          <w:tcPr>
            <w:tcW w:w="22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480" w:type="dxa"/>
            <w:vAlign w:val="bottom"/>
            <w:shd w:val="clear" w:color="auto" w:fill="EAEBEC"/>
          </w:tcPr>
          <w:p>
            <w:pPr>
              <w:spacing w:after="0"/>
              <w:rPr>
                <w:sz w:val="21"/>
                <w:szCs w:val="21"/>
                <w:color w:val="auto"/>
              </w:rPr>
            </w:pPr>
          </w:p>
        </w:tc>
        <w:tc>
          <w:tcPr>
            <w:tcW w:w="320" w:type="dxa"/>
            <w:vAlign w:val="bottom"/>
            <w:shd w:val="clear" w:color="auto" w:fill="EAEBEC"/>
          </w:tcPr>
          <w:p>
            <w:pPr>
              <w:spacing w:after="0"/>
              <w:rPr>
                <w:sz w:val="21"/>
                <w:szCs w:val="21"/>
                <w:color w:val="auto"/>
              </w:rPr>
            </w:pPr>
          </w:p>
        </w:tc>
        <w:tc>
          <w:tcPr>
            <w:tcW w:w="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70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60" w:type="dxa"/>
            <w:vAlign w:val="bottom"/>
            <w:shd w:val="clear" w:color="auto" w:fill="EAEBEC"/>
          </w:tcPr>
          <w:p>
            <w:pPr>
              <w:spacing w:after="0"/>
              <w:rPr>
                <w:sz w:val="21"/>
                <w:szCs w:val="21"/>
                <w:color w:val="auto"/>
              </w:rPr>
            </w:pPr>
          </w:p>
        </w:tc>
      </w:tr>
      <w:tr>
        <w:trPr>
          <w:trHeight w:val="244"/>
        </w:trPr>
        <w:tc>
          <w:tcPr>
            <w:tcW w:w="4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leases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290,555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223,541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298,672</w:t>
            </w:r>
          </w:p>
        </w:tc>
        <w:tc>
          <w:tcPr>
            <w:tcW w:w="60" w:type="dxa"/>
            <w:vAlign w:val="bottom"/>
          </w:tcPr>
          <w:p>
            <w:pPr>
              <w:spacing w:after="0"/>
              <w:rPr>
                <w:sz w:val="21"/>
                <w:szCs w:val="21"/>
                <w:color w:val="auto"/>
              </w:rPr>
            </w:pPr>
          </w:p>
        </w:tc>
      </w:tr>
      <w:tr>
        <w:trPr>
          <w:trHeight w:val="244"/>
        </w:trPr>
        <w:tc>
          <w:tcPr>
            <w:tcW w:w="42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Finance leases</w:t>
            </w:r>
          </w:p>
        </w:tc>
        <w:tc>
          <w:tcPr>
            <w:tcW w:w="1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1,541</w:t>
            </w:r>
          </w:p>
        </w:tc>
        <w:tc>
          <w:tcPr>
            <w:tcW w:w="28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3"/>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7,516</w:t>
            </w:r>
          </w:p>
        </w:tc>
        <w:tc>
          <w:tcPr>
            <w:tcW w:w="2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4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712</w:t>
            </w:r>
          </w:p>
        </w:tc>
        <w:tc>
          <w:tcPr>
            <w:tcW w:w="60" w:type="dxa"/>
            <w:vAlign w:val="bottom"/>
            <w:shd w:val="clear" w:color="auto" w:fill="EAEBEC"/>
          </w:tcPr>
          <w:p>
            <w:pPr>
              <w:spacing w:after="0"/>
              <w:rPr>
                <w:sz w:val="21"/>
                <w:szCs w:val="21"/>
                <w:color w:val="auto"/>
              </w:rPr>
            </w:pPr>
          </w:p>
        </w:tc>
      </w:tr>
      <w:tr>
        <w:trPr>
          <w:trHeight w:val="455"/>
        </w:trPr>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gridSpan w:val="6"/>
          </w:tcPr>
          <w:p>
            <w:pPr>
              <w:jc w:val="center"/>
              <w:ind w:right="380"/>
              <w:spacing w:after="0"/>
              <w:rPr>
                <w:sz w:val="20"/>
                <w:szCs w:val="20"/>
                <w:color w:val="auto"/>
              </w:rPr>
            </w:pPr>
            <w:r>
              <w:rPr>
                <w:rFonts w:ascii="Times New Roman" w:cs="Times New Roman" w:eastAsia="Times New Roman" w:hAnsi="Times New Roman"/>
                <w:sz w:val="16"/>
                <w:szCs w:val="16"/>
                <w:b w:val="1"/>
                <w:bCs w:val="1"/>
                <w:color w:val="231F20"/>
                <w:w w:val="98"/>
              </w:rPr>
              <w:t>January 31,</w:t>
            </w:r>
          </w:p>
        </w:tc>
        <w:tc>
          <w:tcPr>
            <w:tcW w:w="11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r>
      <w:tr>
        <w:trPr>
          <w:trHeight w:val="203"/>
        </w:trPr>
        <w:tc>
          <w:tcPr>
            <w:tcW w:w="4260" w:type="dxa"/>
            <w:vAlign w:val="bottom"/>
            <w:tcBorders>
              <w:bottom w:val="single" w:sz="8" w:color="EAEBEC"/>
            </w:tcBorders>
          </w:tcPr>
          <w:p>
            <w:pPr>
              <w:spacing w:after="0"/>
              <w:rPr>
                <w:sz w:val="17"/>
                <w:szCs w:val="17"/>
                <w:color w:val="auto"/>
              </w:rPr>
            </w:pPr>
          </w:p>
        </w:tc>
        <w:tc>
          <w:tcPr>
            <w:tcW w:w="100" w:type="dxa"/>
            <w:vAlign w:val="bottom"/>
            <w:tcBorders>
              <w:bottom w:val="single" w:sz="8" w:color="EAEBEC"/>
            </w:tcBorders>
          </w:tcPr>
          <w:p>
            <w:pPr>
              <w:spacing w:after="0"/>
              <w:rPr>
                <w:sz w:val="17"/>
                <w:szCs w:val="17"/>
                <w:color w:val="auto"/>
              </w:rPr>
            </w:pPr>
          </w:p>
        </w:tc>
        <w:tc>
          <w:tcPr>
            <w:tcW w:w="620" w:type="dxa"/>
            <w:vAlign w:val="bottom"/>
            <w:tcBorders>
              <w:bottom w:val="single" w:sz="8" w:color="EAEBEC"/>
            </w:tcBorders>
          </w:tcPr>
          <w:p>
            <w:pPr>
              <w:spacing w:after="0"/>
              <w:rPr>
                <w:sz w:val="17"/>
                <w:szCs w:val="17"/>
                <w:color w:val="auto"/>
              </w:rPr>
            </w:pPr>
          </w:p>
        </w:tc>
        <w:tc>
          <w:tcPr>
            <w:tcW w:w="22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gridSpan w:val="3"/>
          </w:tcPr>
          <w:p>
            <w:pPr>
              <w:jc w:val="right"/>
              <w:ind w:right="244"/>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320" w:type="dxa"/>
            <w:vAlign w:val="bottom"/>
            <w:tcBorders>
              <w:bottom w:val="single" w:sz="8" w:color="EAEBEC"/>
            </w:tcBorders>
          </w:tcPr>
          <w:p>
            <w:pPr>
              <w:spacing w:after="0"/>
              <w:rPr>
                <w:sz w:val="17"/>
                <w:szCs w:val="17"/>
                <w:color w:val="auto"/>
              </w:rPr>
            </w:pPr>
          </w:p>
        </w:tc>
        <w:tc>
          <w:tcPr>
            <w:tcW w:w="40" w:type="dxa"/>
            <w:vAlign w:val="bottom"/>
            <w:tcBorders>
              <w:bottom w:val="single" w:sz="8" w:color="231F20"/>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700" w:type="dxa"/>
            <w:vAlign w:val="bottom"/>
            <w:tcBorders>
              <w:bottom w:val="single" w:sz="8" w:color="231F20"/>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140" w:type="dxa"/>
            <w:vAlign w:val="bottom"/>
            <w:tcBorders>
              <w:bottom w:val="single" w:sz="8" w:color="EAEBEC"/>
            </w:tcBorders>
          </w:tcPr>
          <w:p>
            <w:pPr>
              <w:spacing w:after="0"/>
              <w:rPr>
                <w:sz w:val="17"/>
                <w:szCs w:val="17"/>
                <w:color w:val="auto"/>
              </w:rPr>
            </w:pPr>
          </w:p>
        </w:tc>
        <w:tc>
          <w:tcPr>
            <w:tcW w:w="60" w:type="dxa"/>
            <w:vAlign w:val="bottom"/>
            <w:tcBorders>
              <w:bottom w:val="single" w:sz="8" w:color="EAEBEC"/>
            </w:tcBorders>
          </w:tcPr>
          <w:p>
            <w:pPr>
              <w:spacing w:after="0"/>
              <w:rPr>
                <w:sz w:val="17"/>
                <w:szCs w:val="17"/>
                <w:color w:val="auto"/>
              </w:rPr>
            </w:pPr>
          </w:p>
        </w:tc>
      </w:tr>
      <w:tr>
        <w:trPr>
          <w:trHeight w:val="239"/>
        </w:trPr>
        <w:tc>
          <w:tcPr>
            <w:tcW w:w="42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Weighted average remaining lease term:</w:t>
            </w:r>
          </w:p>
        </w:tc>
        <w:tc>
          <w:tcPr>
            <w:tcW w:w="100" w:type="dxa"/>
            <w:vAlign w:val="bottom"/>
            <w:shd w:val="clear" w:color="auto" w:fill="EAEBEC"/>
          </w:tcPr>
          <w:p>
            <w:pPr>
              <w:spacing w:after="0"/>
              <w:rPr>
                <w:sz w:val="20"/>
                <w:szCs w:val="20"/>
                <w:color w:val="auto"/>
              </w:rPr>
            </w:pPr>
          </w:p>
        </w:tc>
        <w:tc>
          <w:tcPr>
            <w:tcW w:w="620" w:type="dxa"/>
            <w:vAlign w:val="bottom"/>
            <w:shd w:val="clear" w:color="auto" w:fill="EAEBEC"/>
          </w:tcPr>
          <w:p>
            <w:pPr>
              <w:spacing w:after="0"/>
              <w:rPr>
                <w:sz w:val="20"/>
                <w:szCs w:val="20"/>
                <w:color w:val="auto"/>
              </w:rPr>
            </w:pPr>
          </w:p>
        </w:tc>
        <w:tc>
          <w:tcPr>
            <w:tcW w:w="220" w:type="dxa"/>
            <w:vAlign w:val="bottom"/>
            <w:shd w:val="clear" w:color="auto" w:fill="EAEBEC"/>
          </w:tcPr>
          <w:p>
            <w:pPr>
              <w:spacing w:after="0"/>
              <w:rPr>
                <w:sz w:val="20"/>
                <w:szCs w:val="20"/>
                <w:color w:val="auto"/>
              </w:rPr>
            </w:pPr>
          </w:p>
        </w:tc>
        <w:tc>
          <w:tcPr>
            <w:tcW w:w="180" w:type="dxa"/>
            <w:vAlign w:val="bottom"/>
            <w:shd w:val="clear" w:color="auto" w:fill="EAEBEC"/>
          </w:tcPr>
          <w:p>
            <w:pPr>
              <w:spacing w:after="0"/>
              <w:rPr>
                <w:sz w:val="20"/>
                <w:szCs w:val="20"/>
                <w:color w:val="auto"/>
              </w:rPr>
            </w:pPr>
          </w:p>
        </w:tc>
        <w:tc>
          <w:tcPr>
            <w:tcW w:w="100" w:type="dxa"/>
            <w:vAlign w:val="bottom"/>
            <w:shd w:val="clear" w:color="auto" w:fill="EAEBEC"/>
          </w:tcPr>
          <w:p>
            <w:pPr>
              <w:spacing w:after="0"/>
              <w:rPr>
                <w:sz w:val="20"/>
                <w:szCs w:val="20"/>
                <w:color w:val="auto"/>
              </w:rPr>
            </w:pPr>
          </w:p>
        </w:tc>
        <w:tc>
          <w:tcPr>
            <w:tcW w:w="480" w:type="dxa"/>
            <w:vAlign w:val="bottom"/>
            <w:shd w:val="clear" w:color="auto" w:fill="EAEBEC"/>
          </w:tcPr>
          <w:p>
            <w:pPr>
              <w:spacing w:after="0"/>
              <w:rPr>
                <w:sz w:val="20"/>
                <w:szCs w:val="20"/>
                <w:color w:val="auto"/>
              </w:rPr>
            </w:pPr>
          </w:p>
        </w:tc>
        <w:tc>
          <w:tcPr>
            <w:tcW w:w="320" w:type="dxa"/>
            <w:vAlign w:val="bottom"/>
            <w:shd w:val="clear" w:color="auto" w:fill="EAEBEC"/>
          </w:tcPr>
          <w:p>
            <w:pPr>
              <w:spacing w:after="0"/>
              <w:rPr>
                <w:sz w:val="20"/>
                <w:szCs w:val="20"/>
                <w:color w:val="auto"/>
              </w:rPr>
            </w:pPr>
          </w:p>
        </w:tc>
        <w:tc>
          <w:tcPr>
            <w:tcW w:w="40" w:type="dxa"/>
            <w:vAlign w:val="bottom"/>
            <w:shd w:val="clear" w:color="auto" w:fill="EAEBEC"/>
          </w:tcPr>
          <w:p>
            <w:pPr>
              <w:spacing w:after="0"/>
              <w:rPr>
                <w:sz w:val="20"/>
                <w:szCs w:val="20"/>
                <w:color w:val="auto"/>
              </w:rPr>
            </w:pPr>
          </w:p>
        </w:tc>
        <w:tc>
          <w:tcPr>
            <w:tcW w:w="160" w:type="dxa"/>
            <w:vAlign w:val="bottom"/>
            <w:shd w:val="clear" w:color="auto" w:fill="EAEBEC"/>
          </w:tcPr>
          <w:p>
            <w:pPr>
              <w:spacing w:after="0"/>
              <w:rPr>
                <w:sz w:val="20"/>
                <w:szCs w:val="20"/>
                <w:color w:val="auto"/>
              </w:rPr>
            </w:pPr>
          </w:p>
        </w:tc>
        <w:tc>
          <w:tcPr>
            <w:tcW w:w="100" w:type="dxa"/>
            <w:vAlign w:val="bottom"/>
            <w:shd w:val="clear" w:color="auto" w:fill="EAEBEC"/>
          </w:tcPr>
          <w:p>
            <w:pPr>
              <w:spacing w:after="0"/>
              <w:rPr>
                <w:sz w:val="20"/>
                <w:szCs w:val="20"/>
                <w:color w:val="auto"/>
              </w:rPr>
            </w:pPr>
          </w:p>
        </w:tc>
        <w:tc>
          <w:tcPr>
            <w:tcW w:w="70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60" w:type="dxa"/>
            <w:vAlign w:val="bottom"/>
            <w:shd w:val="clear" w:color="auto" w:fill="EAEBEC"/>
          </w:tcPr>
          <w:p>
            <w:pPr>
              <w:spacing w:after="0"/>
              <w:rPr>
                <w:sz w:val="20"/>
                <w:szCs w:val="20"/>
                <w:color w:val="auto"/>
              </w:rPr>
            </w:pPr>
          </w:p>
        </w:tc>
      </w:tr>
      <w:tr>
        <w:trPr>
          <w:trHeight w:val="244"/>
        </w:trPr>
        <w:tc>
          <w:tcPr>
            <w:tcW w:w="4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leases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5.4</w:t>
            </w:r>
          </w:p>
        </w:tc>
        <w:tc>
          <w:tcPr>
            <w:tcW w:w="480" w:type="dxa"/>
            <w:vAlign w:val="bottom"/>
          </w:tcPr>
          <w:p>
            <w:pPr>
              <w:ind w:left="40"/>
              <w:spacing w:after="0"/>
              <w:rPr>
                <w:sz w:val="20"/>
                <w:szCs w:val="20"/>
                <w:color w:val="auto"/>
              </w:rPr>
            </w:pPr>
            <w:r>
              <w:rPr>
                <w:rFonts w:ascii="Times New Roman" w:cs="Times New Roman" w:eastAsia="Times New Roman" w:hAnsi="Times New Roman"/>
                <w:sz w:val="20"/>
                <w:szCs w:val="20"/>
                <w:color w:val="231F20"/>
                <w:w w:val="99"/>
              </w:rPr>
              <w:t>years</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231F20"/>
                <w:w w:val="99"/>
              </w:rPr>
              <w:t>5.7 years</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2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Finance leases</w:t>
            </w:r>
          </w:p>
        </w:tc>
        <w:tc>
          <w:tcPr>
            <w:tcW w:w="100" w:type="dxa"/>
            <w:vAlign w:val="bottom"/>
            <w:shd w:val="clear" w:color="auto" w:fill="EAEBEC"/>
          </w:tcPr>
          <w:p>
            <w:pPr>
              <w:spacing w:after="0"/>
              <w:rPr>
                <w:sz w:val="21"/>
                <w:szCs w:val="21"/>
                <w:color w:val="auto"/>
              </w:rPr>
            </w:pPr>
          </w:p>
        </w:tc>
        <w:tc>
          <w:tcPr>
            <w:tcW w:w="1120" w:type="dxa"/>
            <w:vAlign w:val="bottom"/>
            <w:gridSpan w:val="4"/>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2.7</w:t>
            </w:r>
          </w:p>
        </w:tc>
        <w:tc>
          <w:tcPr>
            <w:tcW w:w="840" w:type="dxa"/>
            <w:vAlign w:val="bottom"/>
            <w:gridSpan w:val="3"/>
            <w:shd w:val="clear" w:color="auto" w:fill="EAEBEC"/>
          </w:tcPr>
          <w:p>
            <w:pPr>
              <w:ind w:left="40"/>
              <w:spacing w:after="0"/>
              <w:rPr>
                <w:sz w:val="20"/>
                <w:szCs w:val="20"/>
                <w:color w:val="auto"/>
              </w:rPr>
            </w:pPr>
            <w:r>
              <w:rPr>
                <w:rFonts w:ascii="Times New Roman" w:cs="Times New Roman" w:eastAsia="Times New Roman" w:hAnsi="Times New Roman"/>
                <w:sz w:val="20"/>
                <w:szCs w:val="20"/>
                <w:color w:val="231F20"/>
              </w:rPr>
              <w:t>years</w:t>
            </w:r>
          </w:p>
        </w:tc>
        <w:tc>
          <w:tcPr>
            <w:tcW w:w="160" w:type="dxa"/>
            <w:vAlign w:val="bottom"/>
            <w:shd w:val="clear" w:color="auto" w:fill="EAEBEC"/>
          </w:tcPr>
          <w:p>
            <w:pPr>
              <w:spacing w:after="0"/>
              <w:rPr>
                <w:sz w:val="21"/>
                <w:szCs w:val="21"/>
                <w:color w:val="auto"/>
              </w:rPr>
            </w:pPr>
          </w:p>
        </w:tc>
        <w:tc>
          <w:tcPr>
            <w:tcW w:w="1000" w:type="dxa"/>
            <w:vAlign w:val="bottom"/>
            <w:gridSpan w:val="4"/>
            <w:shd w:val="clear" w:color="auto" w:fill="EAEBEC"/>
          </w:tcPr>
          <w:p>
            <w:pPr>
              <w:ind w:left="60"/>
              <w:spacing w:after="0"/>
              <w:rPr>
                <w:sz w:val="20"/>
                <w:szCs w:val="20"/>
                <w:color w:val="auto"/>
              </w:rPr>
            </w:pPr>
            <w:r>
              <w:rPr>
                <w:rFonts w:ascii="Times New Roman" w:cs="Times New Roman" w:eastAsia="Times New Roman" w:hAnsi="Times New Roman"/>
                <w:sz w:val="20"/>
                <w:szCs w:val="20"/>
                <w:color w:val="231F20"/>
              </w:rPr>
              <w:t>2.4 years</w:t>
            </w:r>
          </w:p>
        </w:tc>
      </w:tr>
      <w:tr>
        <w:trPr>
          <w:trHeight w:val="244"/>
        </w:trPr>
        <w:tc>
          <w:tcPr>
            <w:tcW w:w="4260" w:type="dxa"/>
            <w:vAlign w:val="bottom"/>
          </w:tcPr>
          <w:p>
            <w:pPr>
              <w:spacing w:after="0"/>
              <w:rPr>
                <w:sz w:val="20"/>
                <w:szCs w:val="20"/>
                <w:color w:val="auto"/>
              </w:rPr>
            </w:pPr>
            <w:r>
              <w:rPr>
                <w:rFonts w:ascii="Times New Roman" w:cs="Times New Roman" w:eastAsia="Times New Roman" w:hAnsi="Times New Roman"/>
                <w:sz w:val="20"/>
                <w:szCs w:val="20"/>
                <w:color w:val="231F20"/>
              </w:rPr>
              <w:t>Weighted average discount rate:</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2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Operating leases</w:t>
            </w:r>
          </w:p>
        </w:tc>
        <w:tc>
          <w:tcPr>
            <w:tcW w:w="100" w:type="dxa"/>
            <w:vAlign w:val="bottom"/>
            <w:shd w:val="clear" w:color="auto" w:fill="EAEBEC"/>
          </w:tcPr>
          <w:p>
            <w:pPr>
              <w:spacing w:after="0"/>
              <w:rPr>
                <w:sz w:val="21"/>
                <w:szCs w:val="21"/>
                <w:color w:val="auto"/>
              </w:rPr>
            </w:pPr>
          </w:p>
        </w:tc>
        <w:tc>
          <w:tcPr>
            <w:tcW w:w="620" w:type="dxa"/>
            <w:vAlign w:val="bottom"/>
            <w:shd w:val="clear" w:color="auto" w:fill="EAEBEC"/>
          </w:tcPr>
          <w:p>
            <w:pPr>
              <w:spacing w:after="0"/>
              <w:rPr>
                <w:sz w:val="21"/>
                <w:szCs w:val="21"/>
                <w:color w:val="auto"/>
              </w:rPr>
            </w:pPr>
          </w:p>
        </w:tc>
        <w:tc>
          <w:tcPr>
            <w:tcW w:w="22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800" w:type="dxa"/>
            <w:vAlign w:val="bottom"/>
            <w:gridSpan w:val="2"/>
            <w:shd w:val="clear" w:color="auto" w:fill="EAEBEC"/>
          </w:tcPr>
          <w:p>
            <w:pPr>
              <w:jc w:val="right"/>
              <w:ind w:right="160"/>
              <w:spacing w:after="0"/>
              <w:rPr>
                <w:sz w:val="20"/>
                <w:szCs w:val="20"/>
                <w:color w:val="auto"/>
              </w:rPr>
            </w:pPr>
            <w:r>
              <w:rPr>
                <w:rFonts w:ascii="Times New Roman" w:cs="Times New Roman" w:eastAsia="Times New Roman" w:hAnsi="Times New Roman"/>
                <w:sz w:val="20"/>
                <w:szCs w:val="20"/>
                <w:color w:val="231F20"/>
              </w:rPr>
              <w:t>8.1%</w:t>
            </w:r>
          </w:p>
        </w:tc>
        <w:tc>
          <w:tcPr>
            <w:tcW w:w="40" w:type="dxa"/>
            <w:vAlign w:val="bottom"/>
            <w:shd w:val="clear" w:color="auto" w:fill="EAEBEC"/>
          </w:tcPr>
          <w:p>
            <w:pPr>
              <w:spacing w:after="0"/>
              <w:rPr>
                <w:sz w:val="21"/>
                <w:szCs w:val="21"/>
                <w:color w:val="auto"/>
              </w:rPr>
            </w:pPr>
          </w:p>
        </w:tc>
        <w:tc>
          <w:tcPr>
            <w:tcW w:w="16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900" w:type="dxa"/>
            <w:vAlign w:val="bottom"/>
            <w:gridSpan w:val="3"/>
            <w:shd w:val="clear" w:color="auto" w:fill="EAEBEC"/>
          </w:tcPr>
          <w:p>
            <w:pPr>
              <w:jc w:val="right"/>
              <w:ind w:right="40"/>
              <w:spacing w:after="0"/>
              <w:rPr>
                <w:sz w:val="20"/>
                <w:szCs w:val="20"/>
                <w:color w:val="auto"/>
              </w:rPr>
            </w:pPr>
            <w:r>
              <w:rPr>
                <w:rFonts w:ascii="Times New Roman" w:cs="Times New Roman" w:eastAsia="Times New Roman" w:hAnsi="Times New Roman"/>
                <w:sz w:val="20"/>
                <w:szCs w:val="20"/>
                <w:color w:val="231F20"/>
              </w:rPr>
              <w:t>8.1%</w:t>
            </w:r>
          </w:p>
        </w:tc>
      </w:tr>
      <w:tr>
        <w:trPr>
          <w:trHeight w:val="266"/>
        </w:trPr>
        <w:tc>
          <w:tcPr>
            <w:tcW w:w="4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Finance leases</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6.3%</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3286760</wp:posOffset>
            </wp:positionH>
            <wp:positionV relativeFrom="paragraph">
              <wp:posOffset>-3295015</wp:posOffset>
            </wp:positionV>
            <wp:extent cx="204216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4">
                      <a:extLst>
                        <a:ext uri="{28A0092B-C50C-407E-A947-70E740481C1C}"/>
                      </a:extLst>
                    </a:blip>
                    <a:srcRect/>
                    <a:stretch>
                      <a:fillRect/>
                    </a:stretch>
                  </pic:blipFill>
                  <pic:spPr bwMode="auto">
                    <a:xfrm>
                      <a:off x="0" y="0"/>
                      <a:ext cx="2042160" cy="38100"/>
                    </a:xfrm>
                    <a:prstGeom prst="rect">
                      <a:avLst/>
                    </a:prstGeom>
                    <a:noFill/>
                  </pic:spPr>
                </pic:pic>
              </a:graphicData>
            </a:graphic>
          </wp:anchor>
        </w:drawing>
      </w:r>
    </w:p>
    <w:p>
      <w:pPr>
        <w:spacing w:after="0" w:line="254"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231F20"/>
        </w:rPr>
        <w:t>At January 31, 2026, the maturities of the Company’s operating and finance lease liabilities were as follows (in thousands):</w:t>
      </w:r>
    </w:p>
    <w:p>
      <w:pPr>
        <w:spacing w:after="0" w:line="219"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rPr>
              <w:t>Operating</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w w:val="99"/>
              </w:rPr>
              <w:t>Finance</w:t>
            </w:r>
          </w:p>
        </w:tc>
      </w:tr>
      <w:tr>
        <w:trPr>
          <w:trHeight w:val="203"/>
        </w:trPr>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231F20"/>
              </w:rPr>
              <w:t>Fiscal years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rPr>
              <w:t>leases</w:t>
            </w: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231F20"/>
                <w:w w:val="97"/>
              </w:rPr>
              <w:t>leases</w:t>
            </w:r>
          </w:p>
        </w:tc>
      </w:tr>
      <w:tr>
        <w:trPr>
          <w:trHeight w:val="239"/>
        </w:trPr>
        <w:tc>
          <w:tcPr>
            <w:tcW w:w="4900" w:type="dxa"/>
            <w:vAlign w:val="bottom"/>
            <w:tcBorders>
              <w:top w:val="single" w:sz="8" w:color="231F20"/>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2026</w:t>
            </w:r>
          </w:p>
        </w:tc>
        <w:tc>
          <w:tcPr>
            <w:tcW w:w="120" w:type="dxa"/>
            <w:vAlign w:val="bottom"/>
            <w:tcBorders>
              <w:top w:val="single" w:sz="8" w:color="EAEBEC"/>
            </w:tcBorders>
            <w:shd w:val="clear" w:color="auto" w:fill="EAEBEC"/>
          </w:tcPr>
          <w:p>
            <w:pPr>
              <w:spacing w:after="0"/>
              <w:rPr>
                <w:sz w:val="20"/>
                <w:szCs w:val="20"/>
                <w:color w:val="auto"/>
              </w:rPr>
            </w:pPr>
          </w:p>
        </w:tc>
        <w:tc>
          <w:tcPr>
            <w:tcW w:w="140" w:type="dxa"/>
            <w:vAlign w:val="bottom"/>
            <w:tcBorders>
              <w:top w:val="single" w:sz="8" w:color="231F20"/>
            </w:tcBorders>
            <w:shd w:val="clear" w:color="auto" w:fill="EAEBEC"/>
          </w:tcPr>
          <w:p>
            <w:pPr>
              <w:spacing w:after="0"/>
              <w:rPr>
                <w:sz w:val="20"/>
                <w:szCs w:val="20"/>
                <w:color w:val="auto"/>
              </w:rPr>
            </w:pPr>
          </w:p>
        </w:tc>
        <w:tc>
          <w:tcPr>
            <w:tcW w:w="9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414,719</w:t>
            </w:r>
          </w:p>
        </w:tc>
        <w:tc>
          <w:tcPr>
            <w:tcW w:w="220" w:type="dxa"/>
            <w:vAlign w:val="bottom"/>
            <w:tcBorders>
              <w:top w:val="single" w:sz="8" w:color="EAEBEC"/>
            </w:tcBorders>
            <w:shd w:val="clear" w:color="auto" w:fill="EAEBEC"/>
          </w:tcPr>
          <w:p>
            <w:pPr>
              <w:spacing w:after="0"/>
              <w:rPr>
                <w:sz w:val="20"/>
                <w:szCs w:val="20"/>
                <w:color w:val="auto"/>
              </w:rPr>
            </w:pPr>
          </w:p>
        </w:tc>
        <w:tc>
          <w:tcPr>
            <w:tcW w:w="180" w:type="dxa"/>
            <w:vAlign w:val="bottom"/>
            <w:tcBorders>
              <w:top w:val="single" w:sz="8" w:color="231F20"/>
            </w:tcBorders>
            <w:shd w:val="clear" w:color="auto" w:fill="EAEBEC"/>
          </w:tcPr>
          <w:p>
            <w:pPr>
              <w:spacing w:after="0"/>
              <w:rPr>
                <w:sz w:val="20"/>
                <w:szCs w:val="20"/>
                <w:color w:val="auto"/>
              </w:rPr>
            </w:pPr>
          </w:p>
        </w:tc>
        <w:tc>
          <w:tcPr>
            <w:tcW w:w="90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5,139</w:t>
            </w:r>
          </w:p>
        </w:tc>
        <w:tc>
          <w:tcPr>
            <w:tcW w:w="80" w:type="dxa"/>
            <w:vAlign w:val="bottom"/>
            <w:tcBorders>
              <w:top w:val="single" w:sz="8" w:color="EAEBEC"/>
            </w:tcBorders>
            <w:shd w:val="clear" w:color="auto" w:fill="EAEBEC"/>
          </w:tcPr>
          <w:p>
            <w:pPr>
              <w:spacing w:after="0"/>
              <w:rPr>
                <w:sz w:val="20"/>
                <w:szCs w:val="20"/>
                <w:color w:val="auto"/>
              </w:rPr>
            </w:pPr>
          </w:p>
        </w:tc>
      </w:t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346,852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2,930</w:t>
            </w:r>
          </w:p>
        </w:tc>
        <w:tc>
          <w:tcPr>
            <w:tcW w:w="80" w:type="dxa"/>
            <w:vAlign w:val="bottom"/>
          </w:tcPr>
          <w:p>
            <w:pPr>
              <w:spacing w:after="0"/>
              <w:rPr>
                <w:sz w:val="21"/>
                <w:szCs w:val="21"/>
                <w:color w:val="auto"/>
              </w:rPr>
            </w:pPr>
          </w:p>
        </w:tc>
      </w:tr>
      <w:tr>
        <w:trPr>
          <w:trHeight w:val="244"/>
        </w:trPr>
        <w:tc>
          <w:tcPr>
            <w:tcW w:w="49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2028</w:t>
            </w:r>
          </w:p>
        </w:tc>
        <w:tc>
          <w:tcPr>
            <w:tcW w:w="12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292,219</w:t>
            </w:r>
          </w:p>
        </w:tc>
        <w:tc>
          <w:tcPr>
            <w:tcW w:w="22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9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1,444</w:t>
            </w:r>
          </w:p>
        </w:tc>
        <w:tc>
          <w:tcPr>
            <w:tcW w:w="80" w:type="dxa"/>
            <w:vAlign w:val="bottom"/>
            <w:shd w:val="clear" w:color="auto" w:fill="EAEBEC"/>
          </w:tcPr>
          <w:p>
            <w:pPr>
              <w:spacing w:after="0"/>
              <w:rPr>
                <w:sz w:val="21"/>
                <w:szCs w:val="21"/>
                <w:color w:val="auto"/>
              </w:rPr>
            </w:pPr>
          </w:p>
        </w:tc>
      </w:t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209,608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627</w:t>
            </w:r>
          </w:p>
        </w:tc>
        <w:tc>
          <w:tcPr>
            <w:tcW w:w="80" w:type="dxa"/>
            <w:vAlign w:val="bottom"/>
          </w:tcPr>
          <w:p>
            <w:pPr>
              <w:spacing w:after="0"/>
              <w:rPr>
                <w:sz w:val="21"/>
                <w:szCs w:val="21"/>
                <w:color w:val="auto"/>
              </w:rPr>
            </w:pPr>
          </w:p>
        </w:tc>
      </w:tr>
      <w:tr>
        <w:trPr>
          <w:trHeight w:val="244"/>
        </w:trPr>
        <w:tc>
          <w:tcPr>
            <w:tcW w:w="49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2030</w:t>
            </w:r>
          </w:p>
        </w:tc>
        <w:tc>
          <w:tcPr>
            <w:tcW w:w="12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141,853</w:t>
            </w:r>
          </w:p>
        </w:tc>
        <w:tc>
          <w:tcPr>
            <w:tcW w:w="22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9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493</w:t>
            </w:r>
          </w:p>
        </w:tc>
        <w:tc>
          <w:tcPr>
            <w:tcW w:w="80" w:type="dxa"/>
            <w:vAlign w:val="bottom"/>
            <w:shd w:val="clear" w:color="auto" w:fill="EAEBEC"/>
          </w:tcPr>
          <w:p>
            <w:pPr>
              <w:spacing w:after="0"/>
              <w:rPr>
                <w:sz w:val="21"/>
                <w:szCs w:val="21"/>
                <w:color w:val="auto"/>
              </w:rPr>
            </w:pPr>
          </w:p>
        </w:tc>
      </w:tr>
      <w:tr>
        <w:trPr>
          <w:trHeight w:val="244"/>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231F20"/>
              </w:rPr>
              <w:t>Thereafter</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285,991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39"/>
        </w:trPr>
        <w:tc>
          <w:tcPr>
            <w:tcW w:w="4900" w:type="dxa"/>
            <w:vAlign w:val="bottom"/>
            <w:tcBorders>
              <w:top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Total lease payments</w:t>
            </w:r>
          </w:p>
        </w:tc>
        <w:tc>
          <w:tcPr>
            <w:tcW w:w="120" w:type="dxa"/>
            <w:vAlign w:val="bottom"/>
            <w:tcBorders>
              <w:top w:val="single" w:sz="8" w:color="EAEBEC"/>
            </w:tcBorders>
            <w:shd w:val="clear" w:color="auto" w:fill="EAEBEC"/>
          </w:tcPr>
          <w:p>
            <w:pPr>
              <w:spacing w:after="0"/>
              <w:rPr>
                <w:sz w:val="20"/>
                <w:szCs w:val="20"/>
                <w:color w:val="auto"/>
              </w:rPr>
            </w:pPr>
          </w:p>
        </w:tc>
        <w:tc>
          <w:tcPr>
            <w:tcW w:w="1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9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1,691,242</w:t>
            </w:r>
          </w:p>
        </w:tc>
        <w:tc>
          <w:tcPr>
            <w:tcW w:w="220" w:type="dxa"/>
            <w:vAlign w:val="bottom"/>
            <w:tcBorders>
              <w:top w:val="single" w:sz="8" w:color="EAEBEC"/>
            </w:tcBorders>
            <w:shd w:val="clear" w:color="auto" w:fill="EAEBEC"/>
          </w:tcPr>
          <w:p>
            <w:pPr>
              <w:spacing w:after="0"/>
              <w:rPr>
                <w:sz w:val="20"/>
                <w:szCs w:val="20"/>
                <w:color w:val="auto"/>
              </w:rPr>
            </w:pPr>
          </w:p>
        </w:tc>
        <w:tc>
          <w:tcPr>
            <w:tcW w:w="18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10,633</w:t>
            </w:r>
          </w:p>
        </w:tc>
        <w:tc>
          <w:tcPr>
            <w:tcW w:w="80" w:type="dxa"/>
            <w:vAlign w:val="bottom"/>
            <w:tcBorders>
              <w:top w:val="single" w:sz="8" w:color="EAEBEC"/>
            </w:tcBorders>
            <w:shd w:val="clear" w:color="auto" w:fill="EAEBEC"/>
          </w:tcPr>
          <w:p>
            <w:pPr>
              <w:spacing w:after="0"/>
              <w:rPr>
                <w:sz w:val="20"/>
                <w:szCs w:val="20"/>
                <w:color w:val="auto"/>
              </w:rPr>
            </w:pPr>
          </w:p>
        </w:tc>
      </w:tr>
      <w:tr>
        <w:trPr>
          <w:trHeight w:val="244"/>
        </w:trPr>
        <w:tc>
          <w:tcPr>
            <w:tcW w:w="490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Less imputed interest</w:t>
            </w:r>
          </w:p>
        </w:tc>
        <w:tc>
          <w:tcPr>
            <w:tcW w:w="120" w:type="dxa"/>
            <w:vAlign w:val="bottom"/>
            <w:tcBorders>
              <w:bottom w:val="single" w:sz="8" w:color="EAEBEC"/>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(323,975)</w:t>
            </w:r>
          </w:p>
        </w:tc>
        <w:tc>
          <w:tcPr>
            <w:tcW w:w="220" w:type="dxa"/>
            <w:vAlign w:val="bottom"/>
            <w:tcBorders>
              <w:bottom w:val="single" w:sz="8" w:color="EAEBEC"/>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(950)</w:t>
            </w:r>
          </w:p>
        </w:tc>
        <w:tc>
          <w:tcPr>
            <w:tcW w:w="80" w:type="dxa"/>
            <w:vAlign w:val="bottom"/>
            <w:tcBorders>
              <w:bottom w:val="single" w:sz="8" w:color="EAEBEC"/>
            </w:tcBorders>
          </w:tcPr>
          <w:p>
            <w:pPr>
              <w:spacing w:after="0"/>
              <w:rPr>
                <w:sz w:val="21"/>
                <w:szCs w:val="21"/>
                <w:color w:val="auto"/>
              </w:rPr>
            </w:pPr>
          </w:p>
        </w:tc>
      </w:tr>
      <w:tr>
        <w:trPr>
          <w:trHeight w:val="239"/>
        </w:trPr>
        <w:tc>
          <w:tcPr>
            <w:tcW w:w="49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Present value of lease payments</w:t>
            </w:r>
          </w:p>
        </w:tc>
        <w:tc>
          <w:tcPr>
            <w:tcW w:w="120" w:type="dxa"/>
            <w:vAlign w:val="bottom"/>
            <w:shd w:val="clear" w:color="auto" w:fill="EAEBEC"/>
          </w:tcPr>
          <w:p>
            <w:pPr>
              <w:spacing w:after="0"/>
              <w:rPr>
                <w:sz w:val="20"/>
                <w:szCs w:val="20"/>
                <w:color w:val="auto"/>
              </w:rPr>
            </w:pPr>
          </w:p>
        </w:tc>
        <w:tc>
          <w:tcPr>
            <w:tcW w:w="140" w:type="dxa"/>
            <w:vAlign w:val="bottom"/>
            <w:shd w:val="clear" w:color="auto" w:fill="EAEBEC"/>
          </w:tcPr>
          <w:p>
            <w:pPr>
              <w:spacing w:after="0"/>
              <w:rPr>
                <w:sz w:val="20"/>
                <w:szCs w:val="20"/>
                <w:color w:val="auto"/>
              </w:rPr>
            </w:pP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1,367,267</w:t>
            </w:r>
          </w:p>
        </w:tc>
        <w:tc>
          <w:tcPr>
            <w:tcW w:w="220" w:type="dxa"/>
            <w:vAlign w:val="bottom"/>
            <w:shd w:val="clear" w:color="auto" w:fill="EAEBEC"/>
          </w:tcPr>
          <w:p>
            <w:pPr>
              <w:spacing w:after="0"/>
              <w:rPr>
                <w:sz w:val="20"/>
                <w:szCs w:val="20"/>
                <w:color w:val="auto"/>
              </w:rPr>
            </w:pPr>
          </w:p>
        </w:tc>
        <w:tc>
          <w:tcPr>
            <w:tcW w:w="180" w:type="dxa"/>
            <w:vAlign w:val="bottom"/>
            <w:shd w:val="clear" w:color="auto" w:fill="EAEBEC"/>
          </w:tcPr>
          <w:p>
            <w:pPr>
              <w:spacing w:after="0"/>
              <w:rPr>
                <w:sz w:val="20"/>
                <w:szCs w:val="20"/>
                <w:color w:val="auto"/>
              </w:rPr>
            </w:pPr>
          </w:p>
        </w:tc>
        <w:tc>
          <w:tcPr>
            <w:tcW w:w="9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9,683</w:t>
            </w:r>
          </w:p>
        </w:tc>
        <w:tc>
          <w:tcPr>
            <w:tcW w:w="80" w:type="dxa"/>
            <w:vAlign w:val="bottom"/>
            <w:shd w:val="clear" w:color="auto" w:fill="EAEBEC"/>
          </w:tcPr>
          <w:p>
            <w:pPr>
              <w:spacing w:after="0"/>
              <w:rPr>
                <w:sz w:val="20"/>
                <w:szCs w:val="20"/>
                <w:color w:val="auto"/>
              </w:rPr>
            </w:pPr>
          </w:p>
        </w:tc>
      </w:tr>
      <w:tr>
        <w:trPr>
          <w:trHeight w:val="244"/>
        </w:trPr>
        <w:tc>
          <w:tcPr>
            <w:tcW w:w="490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Less current portion</w:t>
            </w:r>
          </w:p>
        </w:tc>
        <w:tc>
          <w:tcPr>
            <w:tcW w:w="120" w:type="dxa"/>
            <w:vAlign w:val="bottom"/>
            <w:tcBorders>
              <w:bottom w:val="single" w:sz="8" w:color="EAEBEC"/>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(320,082)</w:t>
            </w:r>
          </w:p>
        </w:tc>
        <w:tc>
          <w:tcPr>
            <w:tcW w:w="220" w:type="dxa"/>
            <w:vAlign w:val="bottom"/>
            <w:tcBorders>
              <w:bottom w:val="single" w:sz="8" w:color="EAEBEC"/>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(4,608)</w:t>
            </w:r>
          </w:p>
        </w:tc>
        <w:tc>
          <w:tcPr>
            <w:tcW w:w="80" w:type="dxa"/>
            <w:vAlign w:val="bottom"/>
            <w:tcBorders>
              <w:bottom w:val="single" w:sz="8" w:color="EAEBEC"/>
            </w:tcBorders>
          </w:tcPr>
          <w:p>
            <w:pPr>
              <w:spacing w:after="0"/>
              <w:rPr>
                <w:sz w:val="21"/>
                <w:szCs w:val="21"/>
                <w:color w:val="auto"/>
              </w:rPr>
            </w:pPr>
          </w:p>
        </w:tc>
      </w:tr>
      <w:tr>
        <w:trPr>
          <w:trHeight w:val="259"/>
        </w:trPr>
        <w:tc>
          <w:tcPr>
            <w:tcW w:w="490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Lease liabilities, excluding current portion</w:t>
            </w:r>
          </w:p>
        </w:tc>
        <w:tc>
          <w:tcPr>
            <w:tcW w:w="120" w:type="dxa"/>
            <w:vAlign w:val="bottom"/>
            <w:tcBorders>
              <w:bottom w:val="single" w:sz="8" w:color="EAEBEC"/>
            </w:tcBorders>
            <w:shd w:val="clear" w:color="auto" w:fill="EAEBEC"/>
          </w:tcPr>
          <w:p>
            <w:pPr>
              <w:spacing w:after="0"/>
              <w:rPr>
                <w:sz w:val="22"/>
                <w:szCs w:val="22"/>
                <w:color w:val="auto"/>
              </w:rPr>
            </w:pPr>
          </w:p>
        </w:tc>
        <w:tc>
          <w:tcPr>
            <w:tcW w:w="1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9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1,047,185</w:t>
            </w:r>
          </w:p>
        </w:tc>
        <w:tc>
          <w:tcPr>
            <w:tcW w:w="220" w:type="dxa"/>
            <w:vAlign w:val="bottom"/>
            <w:tcBorders>
              <w:bottom w:val="single" w:sz="8" w:color="EAEBEC"/>
            </w:tcBorders>
            <w:shd w:val="clear" w:color="auto" w:fill="EAEBEC"/>
          </w:tcPr>
          <w:p>
            <w:pPr>
              <w:spacing w:after="0"/>
              <w:rPr>
                <w:sz w:val="22"/>
                <w:szCs w:val="22"/>
                <w:color w:val="auto"/>
              </w:rPr>
            </w:pPr>
          </w:p>
        </w:tc>
        <w:tc>
          <w:tcPr>
            <w:tcW w:w="1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5,075</w:t>
            </w:r>
          </w:p>
        </w:tc>
        <w:tc>
          <w:tcPr>
            <w:tcW w:w="80" w:type="dxa"/>
            <w:vAlign w:val="bottom"/>
            <w:tcBorders>
              <w:bottom w:val="single" w:sz="8" w:color="EAEBEC"/>
            </w:tcBorders>
            <w:shd w:val="clear" w:color="auto" w:fill="EAEBEC"/>
          </w:tcPr>
          <w:p>
            <w:pPr>
              <w:spacing w:after="0"/>
              <w:rPr>
                <w:sz w:val="22"/>
                <w:szCs w:val="22"/>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180"/>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231F20"/>
        </w:rPr>
        <w:t>83</w:t>
      </w:r>
    </w:p>
    <w:p>
      <w:pPr>
        <w:sectPr>
          <w:pgSz w:w="11880" w:h="15480" w:orient="portrait"/>
          <w:cols w:equalWidth="0" w:num="1">
            <w:col w:w="9180"/>
          </w:cols>
          <w:pgMar w:left="1260" w:top="1440" w:right="144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231F20"/>
        </w:rPr>
        <w:t>6. Goodwill</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changes in the carrying amount of the Company’s goodwill were as follows (in thousands):</w:t>
      </w:r>
    </w:p>
    <w:p>
      <w:pPr>
        <w:spacing w:after="0" w:line="290"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6"/>
                <w:szCs w:val="16"/>
                <w:b w:val="1"/>
                <w:bCs w:val="1"/>
                <w:color w:val="231F20"/>
                <w:w w:val="98"/>
              </w:rPr>
              <w:t>January 31,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231F20"/>
              </w:rPr>
              <w:t>February 1,</w:t>
            </w:r>
          </w:p>
        </w:tc>
      </w:tr>
      <w:tr>
        <w:trPr>
          <w:trHeight w:val="203"/>
        </w:trPr>
        <w:tc>
          <w:tcPr>
            <w:tcW w:w="5020" w:type="dxa"/>
            <w:vAlign w:val="bottom"/>
            <w:tcBorders>
              <w:bottom w:val="single" w:sz="8" w:color="EAEBEC"/>
            </w:tcBorders>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200" w:type="dxa"/>
            <w:vAlign w:val="bottom"/>
            <w:tcBorders>
              <w:bottom w:val="single" w:sz="8" w:color="EAEBEC"/>
            </w:tcBorders>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AEBEC"/>
            </w:tcBorders>
          </w:tcPr>
          <w:p>
            <w:pPr>
              <w:spacing w:after="0"/>
              <w:rPr>
                <w:sz w:val="17"/>
                <w:szCs w:val="17"/>
                <w:color w:val="auto"/>
              </w:rPr>
            </w:pPr>
          </w:p>
        </w:tc>
      </w:tr>
      <w:tr>
        <w:trPr>
          <w:trHeight w:val="239"/>
        </w:trPr>
        <w:tc>
          <w:tcPr>
            <w:tcW w:w="50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Beginning balance</w:t>
            </w: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9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980,064</w:t>
            </w:r>
          </w:p>
        </w:tc>
        <w:tc>
          <w:tcPr>
            <w:tcW w:w="200" w:type="dxa"/>
            <w:vAlign w:val="bottom"/>
            <w:shd w:val="clear" w:color="auto" w:fill="EAEBEC"/>
          </w:tcPr>
          <w:p>
            <w:pPr>
              <w:spacing w:after="0"/>
              <w:rPr>
                <w:sz w:val="20"/>
                <w:szCs w:val="20"/>
                <w:color w:val="auto"/>
              </w:rPr>
            </w:pPr>
          </w:p>
        </w:tc>
        <w:tc>
          <w:tcPr>
            <w:tcW w:w="1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9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980,297</w:t>
            </w:r>
          </w:p>
        </w:tc>
        <w:tc>
          <w:tcPr>
            <w:tcW w:w="80" w:type="dxa"/>
            <w:vAlign w:val="bottom"/>
            <w:shd w:val="clear" w:color="auto" w:fill="EAEBEC"/>
          </w:tcPr>
          <w:p>
            <w:pPr>
              <w:spacing w:after="0"/>
              <w:rPr>
                <w:sz w:val="20"/>
                <w:szCs w:val="20"/>
                <w:color w:val="auto"/>
              </w:rPr>
            </w:pPr>
          </w:p>
        </w:tc>
      </w:tr>
      <w:tr>
        <w:trPr>
          <w:trHeight w:val="244"/>
        </w:trPr>
        <w:tc>
          <w:tcPr>
            <w:tcW w:w="5020" w:type="dxa"/>
            <w:vAlign w:val="bottom"/>
            <w:tcBorders>
              <w:bottom w:val="single" w:sz="8" w:color="EAEBEC"/>
            </w:tcBorders>
          </w:tcPr>
          <w:p>
            <w:pPr>
              <w:ind w:left="200"/>
              <w:spacing w:after="0"/>
              <w:rPr>
                <w:sz w:val="20"/>
                <w:szCs w:val="20"/>
                <w:color w:val="auto"/>
              </w:rPr>
            </w:pPr>
            <w:r>
              <w:rPr>
                <w:rFonts w:ascii="Times New Roman" w:cs="Times New Roman" w:eastAsia="Times New Roman" w:hAnsi="Times New Roman"/>
                <w:sz w:val="20"/>
                <w:szCs w:val="20"/>
                <w:color w:val="231F20"/>
              </w:rPr>
              <w:t>Activity from divestiture</w:t>
            </w:r>
          </w:p>
        </w:tc>
        <w:tc>
          <w:tcPr>
            <w:tcW w:w="12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Borders>
              <w:bottom w:val="single" w:sz="8" w:color="EAEBEC"/>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(233)</w:t>
            </w:r>
          </w:p>
        </w:tc>
        <w:tc>
          <w:tcPr>
            <w:tcW w:w="80" w:type="dxa"/>
            <w:vAlign w:val="bottom"/>
            <w:tcBorders>
              <w:bottom w:val="single" w:sz="8" w:color="EAEBEC"/>
            </w:tcBorders>
          </w:tcPr>
          <w:p>
            <w:pPr>
              <w:spacing w:after="0"/>
              <w:rPr>
                <w:sz w:val="21"/>
                <w:szCs w:val="21"/>
                <w:color w:val="auto"/>
              </w:rPr>
            </w:pPr>
          </w:p>
        </w:tc>
      </w:tr>
      <w:tr>
        <w:trPr>
          <w:trHeight w:val="239"/>
        </w:trPr>
        <w:tc>
          <w:tcPr>
            <w:tcW w:w="50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Ending balance</w:t>
            </w:r>
          </w:p>
        </w:tc>
        <w:tc>
          <w:tcPr>
            <w:tcW w:w="1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9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980,064</w:t>
            </w:r>
          </w:p>
        </w:tc>
        <w:tc>
          <w:tcPr>
            <w:tcW w:w="200" w:type="dxa"/>
            <w:vAlign w:val="bottom"/>
            <w:shd w:val="clear" w:color="auto" w:fill="EAEBEC"/>
          </w:tcPr>
          <w:p>
            <w:pPr>
              <w:spacing w:after="0"/>
              <w:rPr>
                <w:sz w:val="20"/>
                <w:szCs w:val="20"/>
                <w:color w:val="auto"/>
              </w:rPr>
            </w:pPr>
          </w:p>
        </w:tc>
        <w:tc>
          <w:tcPr>
            <w:tcW w:w="10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9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980,064</w:t>
            </w:r>
          </w:p>
        </w:tc>
        <w:tc>
          <w:tcPr>
            <w:tcW w:w="80" w:type="dxa"/>
            <w:vAlign w:val="bottom"/>
            <w:shd w:val="clear" w:color="auto" w:fill="EAEBEC"/>
          </w:tcPr>
          <w:p>
            <w:pPr>
              <w:spacing w:after="0"/>
              <w:rPr>
                <w:sz w:val="20"/>
                <w:szCs w:val="20"/>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7"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231F20"/>
        </w:rPr>
        <w:t>The Company has one reporting unit. The Company performs its annual impairment test during the fourth quarter of each fiscal year or more frequently when warranted by events or changes in circumstances.</w:t>
      </w:r>
    </w:p>
    <w:p>
      <w:pPr>
        <w:spacing w:after="0" w:line="15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31F20"/>
        </w:rPr>
        <w:t>During the third quarter of fiscal 2023, the Company concluded that indicators of impairment existed due to declines in the Company's share price, as well as macroeconomic conditions, and performed an interim quantitative impairment test. The fair value of the Company’s reporting unit was estimated by management with the assistance of a third-party valuation specialist. Fair value estimates used in the quantitative impairment test were calculated using a combination of discounted cash flow analysis and a public company analysis. The discounted cash flow analysis measures the value of an asset by the present value of its future estimated cash flows. The Company makes estimates and assumptions about sales, gross margins, selling, general and administrative percentages and profit margins, based on budgets and forecasts, business plans, economic projections, anticipated future cash flows, and marketplace data. The public company analysis analyzes transactional and financial data of publicly traded companies to develop valuation multiples. These multiples are then applied to the Company to develop an indication of fair value.</w:t>
      </w:r>
    </w:p>
    <w:p>
      <w:pPr>
        <w:spacing w:after="0" w:line="209" w:lineRule="exact"/>
        <w:rPr>
          <w:sz w:val="20"/>
          <w:szCs w:val="20"/>
          <w:color w:val="auto"/>
        </w:rPr>
      </w:pPr>
    </w:p>
    <w:p>
      <w:pPr>
        <w:ind w:right="80" w:firstLine="540"/>
        <w:spacing w:after="0" w:line="252" w:lineRule="auto"/>
        <w:rPr>
          <w:sz w:val="20"/>
          <w:szCs w:val="20"/>
          <w:color w:val="auto"/>
        </w:rPr>
      </w:pPr>
      <w:r>
        <w:rPr>
          <w:rFonts w:ascii="Times New Roman" w:cs="Times New Roman" w:eastAsia="Times New Roman" w:hAnsi="Times New Roman"/>
          <w:sz w:val="20"/>
          <w:szCs w:val="20"/>
          <w:color w:val="231F20"/>
        </w:rPr>
        <w:t>Significant assumptions used in the determination of fair value of the reporting unit generally include prospective financial information, discount rates, terminal growth rates and earnings multiples. The discounted cash flow model used to determine the fair value of the reporting unit during the third quarter of fiscal 2023 reflected the Company's most recent cash flow projections, a discount rate of 16.4% and a terminal growth rate of 3%.</w:t>
      </w:r>
    </w:p>
    <w:p>
      <w:pPr>
        <w:spacing w:after="0" w:line="19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231F20"/>
        </w:rPr>
        <w:t xml:space="preserve">As a result of the impairment test, the Company concluded that </w:t>
      </w:r>
      <w:r>
        <w:rPr>
          <w:rFonts w:ascii="Times New Roman" w:cs="Times New Roman" w:eastAsia="Times New Roman" w:hAnsi="Times New Roman"/>
          <w:sz w:val="19"/>
          <w:szCs w:val="19"/>
          <w:color w:val="231F20"/>
        </w:rPr>
        <w:t>it was more likely than not that</w:t>
      </w:r>
      <w:r>
        <w:rPr>
          <w:rFonts w:ascii="Times New Roman" w:cs="Times New Roman" w:eastAsia="Times New Roman" w:hAnsi="Times New Roman"/>
          <w:sz w:val="20"/>
          <w:szCs w:val="20"/>
          <w:color w:val="231F20"/>
        </w:rPr>
        <w:t xml:space="preserve"> carrying value of the Company’s reporting unit exceeded its fair value and recorded a pre-tax goodwill impairment charge of $1,222.5 million during the third quarter of fiscal 2023. This charge was recorded in goodwill impairment in the consolidated statements of operations.</w:t>
      </w:r>
    </w:p>
    <w:p>
      <w:pPr>
        <w:spacing w:after="0" w:line="7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31F20"/>
        </w:rPr>
        <w:t>During the first quarter of fiscal 2024, due to declines in the Company’s share price, the Company performed an interim impairment test. As the estimated fair value of the Company's reporting unit was in excess of its carrying value, the Company concluded that goodwill was not impaired during the first quarter of fiscal 2024. The fair value of the Company's reporting unit was based upon an equal weighting of the income and market approaches, utilizing estimated cash flows and a terminal value, discounted at a rate of return that reflects the relative risk of the cash flows, as well as valuation multiples derived from comparable publicly traded companies that are applied to operating performance of the reporting unit. The discounted cash flow model used to determine the fair value of the reporting unit during the first quarter of fiscal 2024 reflected the Company's most recent cash flow projections, a discount rate of 13.2%, and a terminal growth rate of 3%.</w:t>
      </w:r>
    </w:p>
    <w:p>
      <w:pPr>
        <w:spacing w:after="0" w:line="86"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31F20"/>
        </w:rPr>
        <w:t>During the fourth quarter of fiscal years 2025, 2024, and 2023, the Company concluded that it was more likely than not that the fair value of its reporting unit was greater than its carrying amount, and therefore no goodwill impairment charge was recorded. The reporting unit fair value measurement is classified as Level 3 in the fair value hierarchy because it involves significant unobservable inputs.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7. Senior Secured Credit Facilities</w:t>
      </w:r>
    </w:p>
    <w:p>
      <w:pPr>
        <w:spacing w:after="0" w:line="24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On March 4, 2021, the Company entered into a $1,700.0 million secured term loan facility originally maturing on March 4, 2028 (the “First Lien Term Loan”) and a secured asset-based revolving credit facility with availability of up to $500.0 million, subject to a borrowing base, originally maturing on March 4, 2026 (as amended from time to time, the “ABL Revolving Credit Facility”). In March 2024, the Company amended the ABL Revolving Credit</w:t>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84</w:t>
      </w:r>
    </w:p>
    <w:p>
      <w:pPr>
        <w:sectPr>
          <w:pgSz w:w="11880" w:h="15480" w:orient="portrait"/>
          <w:cols w:equalWidth="0" w:num="1">
            <w:col w:w="9360"/>
          </w:cols>
          <w:pgMar w:left="1260" w:top="1236" w:right="1260" w:bottom="0" w:gutter="0" w:footer="0" w:header="0"/>
          <w:type w:val="continuous"/>
        </w:sectPr>
      </w:pPr>
    </w:p>
    <w:bookmarkStart w:id="94" w:name="page95"/>
    <w:bookmarkEnd w:id="94"/>
    <w:p>
      <w:pPr>
        <w:spacing w:after="0" w:line="247" w:lineRule="auto"/>
        <w:rPr>
          <w:sz w:val="20"/>
          <w:szCs w:val="20"/>
          <w:color w:val="auto"/>
        </w:rPr>
      </w:pPr>
      <w:r>
        <w:rPr>
          <w:rFonts w:ascii="Times New Roman" w:cs="Times New Roman" w:eastAsia="Times New Roman" w:hAnsi="Times New Roman"/>
          <w:sz w:val="20"/>
          <w:szCs w:val="20"/>
          <w:color w:val="231F20"/>
        </w:rPr>
        <w:t>Facility, which now consists of two tranches, to increase its total availability from $500.0 million to $581.0 million and extend the maturity on a portion of this availability. The first tranche has availability of up to $ 35.0 million, subject to a borrowing base, maturing on March 4, 2026. The second tranche has availability of up to $546.0 million, subject to a borrowing base, maturing on March 29, 2029. Interest on the ABL Revolving Credit Facility is based on, at the Company's option, either the base rate subject to a 1% floor, or Term SOFR subject to a floor of 0%, plus an applicable margin. All other key terms of the ABL Revolving Credit Facility remained unchanged.</w:t>
      </w:r>
    </w:p>
    <w:p>
      <w:pPr>
        <w:spacing w:after="0" w:line="20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31F20"/>
        </w:rPr>
        <w:t>The Company’s obligations under the First Lien Term Loan and ABL Revolving Credit Facility are secured by substantially all of the personal property assets of the Company with differing priority rights to the various personal property assets ascribed to each facility. The credit facility agreements, while not identical, contain certain affirmative and negative covenants related to indebtedness, liens, fundamental changes in the business, investments, restricted payments and agreements and a fixed charge coverage ratio, among other things. As of January 31, 2026, the Company was in compliance with its covenants on the agreements.</w:t>
      </w:r>
    </w:p>
    <w:p>
      <w:pPr>
        <w:spacing w:after="0" w:line="20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31F20"/>
        </w:rPr>
        <w:t>The credit agreements governing the First Lien Term Loan and ABL Revolving Credit Facility contain customary default provisions including, among others, the failure to make payments when due, defaults under other material indebtedness, non-compliance with covenants, change of control and bankruptcy, the occurrence of any of which would limit the Company’s ability to draw on the ABL Revolving Credit Facility and could result in the applicable lenders under the First Lien Term Loan and ABL Revolving Credit Facility accelerating the maturity of such indebtedness and foreclosing upon the collateral pledged thereunder.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Term Loan Facilities</w:t>
      </w:r>
    </w:p>
    <w:p>
      <w:pPr>
        <w:spacing w:after="0" w:line="236" w:lineRule="exact"/>
        <w:rPr>
          <w:sz w:val="20"/>
          <w:szCs w:val="20"/>
          <w:color w:val="auto"/>
        </w:rPr>
      </w:pPr>
    </w:p>
    <w:p>
      <w:pPr>
        <w:ind w:firstLine="540"/>
        <w:spacing w:after="0" w:line="246" w:lineRule="auto"/>
        <w:rPr>
          <w:sz w:val="20"/>
          <w:szCs w:val="20"/>
          <w:color w:val="auto"/>
        </w:rPr>
      </w:pPr>
      <w:r>
        <w:rPr>
          <w:rFonts w:ascii="Times New Roman" w:cs="Times New Roman" w:eastAsia="Times New Roman" w:hAnsi="Times New Roman"/>
          <w:sz w:val="20"/>
          <w:szCs w:val="20"/>
          <w:color w:val="231F20"/>
        </w:rPr>
        <w:t>Interest on the First Lien Term Loan was based on, at the Company’s option, either a base rate or Term SOFR plus the credit spread adjustment recommended by the Alternative Reference Rates Committee ("Adjusted Term SOFR"), subject to a 0.75% floor, payable upon maturity of the SOFR contract, in either case plus the applicable rate. The base rate was the greater of the bank prime rate, federal funds effective rate plus 0.5% or Adjusted Term SOFR plus 1.0%. The applicable rate was 2.25% per annum for a base rate loan or 3.25% per annum for an Adjusted Term SOFR loan. Principal and interest payments commenced on June 30, 2021. Principal payments were normally $4.25 million quarterly.</w:t>
      </w:r>
    </w:p>
    <w:p>
      <w:pPr>
        <w:spacing w:after="0" w:line="192" w:lineRule="exact"/>
        <w:rPr>
          <w:sz w:val="20"/>
          <w:szCs w:val="20"/>
          <w:color w:val="auto"/>
        </w:rPr>
      </w:pPr>
    </w:p>
    <w:p>
      <w:pPr>
        <w:ind w:firstLine="495"/>
        <w:spacing w:after="0" w:line="235" w:lineRule="auto"/>
        <w:rPr>
          <w:sz w:val="20"/>
          <w:szCs w:val="20"/>
          <w:color w:val="auto"/>
        </w:rPr>
      </w:pPr>
      <w:r>
        <w:rPr>
          <w:rFonts w:ascii="Times New Roman" w:cs="Times New Roman" w:eastAsia="Times New Roman" w:hAnsi="Times New Roman"/>
          <w:sz w:val="20"/>
          <w:szCs w:val="20"/>
          <w:color w:val="231F20"/>
        </w:rPr>
        <w:t>During the fourth quarter of fiscal 2025, the Company voluntarily repaid $95.3 million of the principal of the First Lien Term Loan using existing cash on hand. During fiscal 2023, the Company voluntarily repaid $75.0 million of the principal of the First Lien Term Loan using existing cash on hand. The repayments were applied to the remaining principal payments in order of scheduled payment date and, as a result, the entire remaining balance was included in senior secured credit facilities, net, excluding current portion in the consolidated balance sheets as of January 31, 2026 and February 1, 2025. The Company accounted for the repayments as partial extinguishments and recognized losses on debt extinguishment of $0.6 million and $0.9 million during fiscal 2025 and fiscal 2023, respectively.</w:t>
      </w:r>
    </w:p>
    <w:p>
      <w:pPr>
        <w:spacing w:after="0" w:line="210"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31F20"/>
        </w:rPr>
        <w:t>As of January 31, 2026, the outstanding principal balance of the First Lien Term Loan was $1,500.0 million ($1,491.8 million, net of the unamortized discount and debt issuance costs). As of February 1, 2025, the outstanding principal balance of the First Lien Term Loan was $1,595.3 million ( $1,582.5 million, net of the unamortized discount and debt issuance costs). The weighted average interest rate on the borrowings outstanding was 7.3% and 7.9% as of January 31, 2026 and February 1, 2025, respectively. Debt issuance costs are being amortized over the contractual term to interest expense using the effective interest rate in effect at issuance. As of January 31, 2026 and February 1, 2025, the estimated fair value of the First Lien Term Loan was approximately $1,496.3 million and $1,529.5 million, respectively, based upon Level 2 fair value hierarchy inputs (Note 1).</w:t>
      </w:r>
    </w:p>
    <w:p>
      <w:pPr>
        <w:spacing w:after="0" w:line="202" w:lineRule="exact"/>
        <w:rPr>
          <w:sz w:val="20"/>
          <w:szCs w:val="20"/>
          <w:color w:val="auto"/>
        </w:rPr>
      </w:pPr>
    </w:p>
    <w:p>
      <w:pPr>
        <w:ind w:right="200" w:firstLine="490"/>
        <w:spacing w:after="0" w:line="263" w:lineRule="auto"/>
        <w:rPr>
          <w:sz w:val="20"/>
          <w:szCs w:val="20"/>
          <w:color w:val="auto"/>
        </w:rPr>
      </w:pPr>
      <w:r>
        <w:rPr>
          <w:rFonts w:ascii="Times New Roman" w:cs="Times New Roman" w:eastAsia="Times New Roman" w:hAnsi="Times New Roman"/>
          <w:sz w:val="19"/>
          <w:szCs w:val="19"/>
          <w:color w:val="231F20"/>
        </w:rPr>
        <w:t>On February 2, 2026, the Company entered into a refinancing amendment to the credit agreement governing the First Lien Term Loan and issued $600.0 million in aggregate principal amount of senior secured notes (the “Senior Secured Notes”). Among other changes, the amendment provided that certain lenders would provide new term loans to the Company in an aggregate principal amount of $900.0 million (the “Amended First Lien Term Loan”), the proceeds of which, together with cash on hand and the proceeds from the Company's issuance of the Senior Secured Notes, would be used to repay the then outstanding principal on the First Lien Term Loan.</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9360"/>
          </w:cols>
          <w:pgMar w:left="1260" w:top="1240" w:right="1260" w:bottom="0" w:gutter="0" w:footer="0" w:header="0"/>
          <w:type w:val="continuous"/>
        </w:sectPr>
      </w:pPr>
    </w:p>
    <w:bookmarkStart w:id="95" w:name="page96"/>
    <w:bookmarkEnd w:id="95"/>
    <w:p>
      <w:pPr>
        <w:ind w:right="40" w:firstLine="490"/>
        <w:spacing w:after="0" w:line="249" w:lineRule="auto"/>
        <w:rPr>
          <w:sz w:val="20"/>
          <w:szCs w:val="20"/>
          <w:color w:val="auto"/>
        </w:rPr>
      </w:pPr>
      <w:r>
        <w:rPr>
          <w:rFonts w:ascii="Times New Roman" w:cs="Times New Roman" w:eastAsia="Times New Roman" w:hAnsi="Times New Roman"/>
          <w:sz w:val="20"/>
          <w:szCs w:val="20"/>
          <w:color w:val="231F20"/>
        </w:rPr>
        <w:t xml:space="preserve">Interest under the Amended First Lien Term Loan is, at the Company’s option, either a base rate plus 3.25% or Term SOFR plus 4.25%. The base rate is the greater of the bank prime rate, federal funds effective rate plus 0.5% or one month Term SOFR plus 1.0%. The Amended First Lien Term Loan matures on February 2, 2031. The Senior Secured Notes bear interest at 8.25% per annum and mature on February 1, 2031. </w:t>
      </w:r>
      <w:r>
        <w:rPr>
          <w:rFonts w:ascii="Times New Roman" w:cs="Times New Roman" w:eastAsia="Times New Roman" w:hAnsi="Times New Roman"/>
          <w:sz w:val="19"/>
          <w:szCs w:val="19"/>
          <w:color w:val="231F20"/>
        </w:rPr>
        <w:t>Principal payments on the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Amended First Lien Term Loan are $2.25 million quarterly and commence on June 30, 2026.</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Revolving Credit Facilities</w:t>
      </w:r>
    </w:p>
    <w:p>
      <w:pPr>
        <w:spacing w:after="0" w:line="236"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31F20"/>
        </w:rPr>
        <w:t>In March 2024, the Company amended the ABL Revolving Credit Facility to increase its total availability and extend the maturity on a portion of the availability. Fees of $3.0 million relating to the Company’s entry into the amendment were capitalized as debt issuance costs. These fees consisted of arranger fees and other third-party expenses. The unamortized portion of the debt issuance costs of the ABL Revolving Credit Facility previously capitalized is being amortized over the amended contractual term.</w:t>
      </w:r>
    </w:p>
    <w:p>
      <w:pPr>
        <w:spacing w:after="0" w:line="197" w:lineRule="exact"/>
        <w:rPr>
          <w:sz w:val="20"/>
          <w:szCs w:val="20"/>
          <w:color w:val="auto"/>
        </w:rPr>
      </w:pPr>
    </w:p>
    <w:p>
      <w:pPr>
        <w:ind w:right="120" w:firstLine="495"/>
        <w:spacing w:after="0" w:line="246" w:lineRule="auto"/>
        <w:rPr>
          <w:sz w:val="20"/>
          <w:szCs w:val="20"/>
          <w:color w:val="auto"/>
        </w:rPr>
      </w:pPr>
      <w:r>
        <w:rPr>
          <w:rFonts w:ascii="Times New Roman" w:cs="Times New Roman" w:eastAsia="Times New Roman" w:hAnsi="Times New Roman"/>
          <w:sz w:val="20"/>
          <w:szCs w:val="20"/>
          <w:color w:val="231F20"/>
        </w:rPr>
        <w:t>As of January 31, 2026 and February 1, 2025, no amounts were outstanding under the ABL Revolving Credit Facility. At January 31, 2026, $ 467.5 million was available under the ABL Revolving Credit Facility, which is net of $58.4 million of outstanding letters of credit issued in the normal course of business and a $55.1 million borrowing base reduction for a shortfall in qualifying assets. Unamortized debt issuance costs of $3.2 million and $4.4 million relating to the ABL Revolving Credit Facility were outstanding and were being amortized using the straight-line method over the remaining term of the agreement as of January 31, 2026 and February 1, 2025, respectively.</w:t>
      </w:r>
    </w:p>
    <w:p>
      <w:pPr>
        <w:spacing w:after="0" w:line="200" w:lineRule="exact"/>
        <w:rPr>
          <w:sz w:val="20"/>
          <w:szCs w:val="20"/>
          <w:color w:val="auto"/>
        </w:rPr>
      </w:pPr>
    </w:p>
    <w:p>
      <w:pPr>
        <w:ind w:right="40" w:firstLine="641"/>
        <w:spacing w:after="0" w:line="247" w:lineRule="auto"/>
        <w:rPr>
          <w:sz w:val="20"/>
          <w:szCs w:val="20"/>
          <w:color w:val="auto"/>
        </w:rPr>
      </w:pPr>
      <w:r>
        <w:rPr>
          <w:rFonts w:ascii="Times New Roman" w:cs="Times New Roman" w:eastAsia="Times New Roman" w:hAnsi="Times New Roman"/>
          <w:sz w:val="20"/>
          <w:szCs w:val="20"/>
          <w:color w:val="231F20"/>
        </w:rPr>
        <w:t>The ABL Revolving Credit Facility has availability up to $581.0 million, and a $150.0 million letter of credit sub-facility. The availability is limited to a borrowing base, which allows borrowings of up to 90% of eligible accounts receivable plus 90% of the net orderly liquidation value of eligible inventory plus up to $50.0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spacing w:after="0" w:line="200" w:lineRule="exact"/>
        <w:rPr>
          <w:sz w:val="20"/>
          <w:szCs w:val="20"/>
          <w:color w:val="auto"/>
        </w:rPr>
      </w:pPr>
    </w:p>
    <w:p>
      <w:pPr>
        <w:ind w:right="120" w:firstLine="641"/>
        <w:spacing w:after="0" w:line="247" w:lineRule="auto"/>
        <w:rPr>
          <w:sz w:val="20"/>
          <w:szCs w:val="20"/>
          <w:color w:val="auto"/>
        </w:rPr>
      </w:pPr>
      <w:r>
        <w:rPr>
          <w:rFonts w:ascii="Times New Roman" w:cs="Times New Roman" w:eastAsia="Times New Roman" w:hAnsi="Times New Roman"/>
          <w:sz w:val="20"/>
          <w:szCs w:val="20"/>
          <w:color w:val="231F20"/>
        </w:rPr>
        <w:t>Prior to the March 2024 amendment, interest on the ABL Revolving Credit Facility was based on, at the Company’s option, either the base rate or Adjusted Term SOFR subject to a floor of 0%, in either case, plus an applicable margin. Following the March 2024 amendment, interest on the ABL Revolving Credit Facility is based on, at the Company's option, either the base rate subject to a 1% floor, or Term SOFR subject to a floor of 0%, plus an applicable margin. The applicable margin is currently equal to 25 basis points in the case of base rate loans and 125 basis points in the case of Term SOFR loans.</w:t>
      </w:r>
    </w:p>
    <w:p>
      <w:pPr>
        <w:spacing w:after="0" w:line="200"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The applicable margin is adjusted quarterly based on the average historical excess availability as a percentage of the Line Cap, which represents the lesser of the aggregate ABL Revolving Credit Facility and the borrowing base, as follows:</w:t>
      </w:r>
    </w:p>
    <w:p>
      <w:pPr>
        <w:spacing w:after="0" w:line="225"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rPr>
              <w:t>Applicable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Applicable</w:t>
            </w:r>
          </w:p>
        </w:tc>
      </w:t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231F20"/>
                <w:w w:val="99"/>
              </w:rPr>
              <w:t>Margin for</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Margin for</w:t>
            </w:r>
          </w:p>
        </w:tc>
      </w:t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231F20"/>
              </w:rPr>
              <w:t>Term SOFR</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w w:val="99"/>
              </w:rPr>
              <w:t>Base Rate</w:t>
            </w:r>
          </w:p>
        </w:tc>
      </w:tr>
      <w:tr>
        <w:trPr>
          <w:trHeight w:val="203"/>
        </w:trPr>
        <w:tc>
          <w:tcPr>
            <w:tcW w:w="484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6"/>
                <w:szCs w:val="16"/>
                <w:b w:val="1"/>
                <w:bCs w:val="1"/>
                <w:color w:val="231F20"/>
              </w:rPr>
              <w:t>Average Historical Excess Availability</w:t>
            </w:r>
          </w:p>
        </w:tc>
        <w:tc>
          <w:tcPr>
            <w:tcW w:w="100" w:type="dxa"/>
            <w:vAlign w:val="bottom"/>
            <w:tcBorders>
              <w:bottom w:val="single" w:sz="8" w:color="EAEBEC"/>
            </w:tcBorders>
          </w:tcPr>
          <w:p>
            <w:pPr>
              <w:spacing w:after="0"/>
              <w:rPr>
                <w:sz w:val="17"/>
                <w:szCs w:val="17"/>
                <w:color w:val="auto"/>
              </w:rPr>
            </w:pPr>
          </w:p>
        </w:tc>
        <w:tc>
          <w:tcPr>
            <w:tcW w:w="100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Loans</w:t>
            </w:r>
          </w:p>
        </w:tc>
        <w:tc>
          <w:tcPr>
            <w:tcW w:w="300" w:type="dxa"/>
            <w:vAlign w:val="bottom"/>
          </w:tcPr>
          <w:p>
            <w:pPr>
              <w:spacing w:after="0"/>
              <w:rPr>
                <w:sz w:val="17"/>
                <w:szCs w:val="17"/>
                <w:color w:val="auto"/>
              </w:rPr>
            </w:pPr>
          </w:p>
        </w:tc>
        <w:tc>
          <w:tcPr>
            <w:tcW w:w="10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Loans</w:t>
            </w:r>
          </w:p>
        </w:tc>
        <w:tc>
          <w:tcPr>
            <w:tcW w:w="220" w:type="dxa"/>
            <w:vAlign w:val="bottom"/>
          </w:tcPr>
          <w:p>
            <w:pPr>
              <w:spacing w:after="0"/>
              <w:rPr>
                <w:sz w:val="17"/>
                <w:szCs w:val="17"/>
                <w:color w:val="auto"/>
              </w:rPr>
            </w:pPr>
          </w:p>
        </w:tc>
      </w:tr>
      <w:tr>
        <w:trPr>
          <w:trHeight w:val="225"/>
        </w:trPr>
        <w:tc>
          <w:tcPr>
            <w:tcW w:w="4840" w:type="dxa"/>
            <w:vAlign w:val="bottom"/>
            <w:shd w:val="clear" w:color="auto" w:fill="EAEBEC"/>
          </w:tcPr>
          <w:p>
            <w:pPr>
              <w:spacing w:after="0" w:line="225" w:lineRule="exact"/>
              <w:rPr>
                <w:sz w:val="20"/>
                <w:szCs w:val="20"/>
                <w:color w:val="auto"/>
              </w:rPr>
            </w:pPr>
            <w:r>
              <w:rPr>
                <w:rFonts w:ascii="Times New Roman" w:cs="Times New Roman" w:eastAsia="Times New Roman" w:hAnsi="Times New Roman"/>
                <w:sz w:val="20"/>
                <w:szCs w:val="20"/>
                <w:color w:val="231F20"/>
              </w:rPr>
              <w:t>Less than 33.3% of the Line Cap</w:t>
            </w:r>
          </w:p>
        </w:tc>
        <w:tc>
          <w:tcPr>
            <w:tcW w:w="100" w:type="dxa"/>
            <w:vAlign w:val="bottom"/>
            <w:tcBorders>
              <w:right w:val="single" w:sz="8" w:color="EAEBEC"/>
            </w:tcBorders>
            <w:shd w:val="clear" w:color="auto" w:fill="EAEBEC"/>
          </w:tcPr>
          <w:p>
            <w:pPr>
              <w:spacing w:after="0"/>
              <w:rPr>
                <w:sz w:val="19"/>
                <w:szCs w:val="19"/>
                <w:color w:val="auto"/>
              </w:rPr>
            </w:pPr>
          </w:p>
        </w:tc>
        <w:tc>
          <w:tcPr>
            <w:tcW w:w="1300" w:type="dxa"/>
            <w:vAlign w:val="bottom"/>
            <w:gridSpan w:val="2"/>
          </w:tcPr>
          <w:p>
            <w:pPr>
              <w:jc w:val="right"/>
              <w:ind w:right="120"/>
              <w:spacing w:after="0" w:line="225" w:lineRule="exact"/>
              <w:rPr>
                <w:sz w:val="20"/>
                <w:szCs w:val="20"/>
                <w:color w:val="auto"/>
              </w:rPr>
            </w:pPr>
            <w:r>
              <w:rPr>
                <w:rFonts w:ascii="Times New Roman" w:cs="Times New Roman" w:eastAsia="Times New Roman" w:hAnsi="Times New Roman"/>
                <w:sz w:val="20"/>
                <w:szCs w:val="20"/>
                <w:color w:val="231F20"/>
              </w:rPr>
              <w:t>1.75%</w:t>
            </w:r>
          </w:p>
        </w:tc>
        <w:tc>
          <w:tcPr>
            <w:tcW w:w="1240" w:type="dxa"/>
            <w:vAlign w:val="bottom"/>
            <w:gridSpan w:val="2"/>
          </w:tcPr>
          <w:p>
            <w:pPr>
              <w:jc w:val="right"/>
              <w:ind w:right="40"/>
              <w:spacing w:after="0" w:line="225" w:lineRule="exact"/>
              <w:rPr>
                <w:sz w:val="20"/>
                <w:szCs w:val="20"/>
                <w:color w:val="auto"/>
              </w:rPr>
            </w:pPr>
            <w:r>
              <w:rPr>
                <w:rFonts w:ascii="Times New Roman" w:cs="Times New Roman" w:eastAsia="Times New Roman" w:hAnsi="Times New Roman"/>
                <w:sz w:val="20"/>
                <w:szCs w:val="20"/>
                <w:color w:val="231F20"/>
              </w:rPr>
              <w:t>0.75%</w:t>
            </w:r>
          </w:p>
        </w:tc>
      </w:tr>
      <w:tr>
        <w:trPr>
          <w:trHeight w:val="211"/>
        </w:trPr>
        <w:tc>
          <w:tcPr>
            <w:tcW w:w="48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231F20"/>
              </w:rPr>
              <w:t>Less than 66.7% but greater than or equal to 33.3%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9"/>
        </w:trPr>
        <w:tc>
          <w:tcPr>
            <w:tcW w:w="48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the Line Cap</w:t>
            </w: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231F20"/>
              </w:rPr>
              <w:t>1.50%</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0.50%</w:t>
            </w:r>
          </w:p>
        </w:tc>
      </w:tr>
      <w:tr>
        <w:trPr>
          <w:trHeight w:val="230"/>
        </w:trPr>
        <w:tc>
          <w:tcPr>
            <w:tcW w:w="48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Greater than or equal to 66.7% of the Line Cap</w:t>
            </w:r>
          </w:p>
        </w:tc>
        <w:tc>
          <w:tcPr>
            <w:tcW w:w="1400" w:type="dxa"/>
            <w:vAlign w:val="bottom"/>
            <w:gridSpan w:val="3"/>
            <w:shd w:val="clear" w:color="auto" w:fill="EAEBEC"/>
          </w:tcPr>
          <w:p>
            <w:pPr>
              <w:jc w:val="right"/>
              <w:ind w:right="120"/>
              <w:spacing w:after="0"/>
              <w:rPr>
                <w:sz w:val="20"/>
                <w:szCs w:val="20"/>
                <w:color w:val="auto"/>
              </w:rPr>
            </w:pPr>
            <w:r>
              <w:rPr>
                <w:rFonts w:ascii="Times New Roman" w:cs="Times New Roman" w:eastAsia="Times New Roman" w:hAnsi="Times New Roman"/>
                <w:sz w:val="20"/>
                <w:szCs w:val="20"/>
                <w:color w:val="231F20"/>
              </w:rPr>
              <w:t>1.25%</w:t>
            </w:r>
          </w:p>
        </w:tc>
        <w:tc>
          <w:tcPr>
            <w:tcW w:w="1240" w:type="dxa"/>
            <w:vAlign w:val="bottom"/>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20"/>
                <w:szCs w:val="20"/>
                <w:color w:val="231F20"/>
              </w:rPr>
              <w:t>0.25%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3722370</wp:posOffset>
                </wp:positionH>
                <wp:positionV relativeFrom="paragraph">
                  <wp:posOffset>-584200</wp:posOffset>
                </wp:positionV>
                <wp:extent cx="648335" cy="14605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335" cy="146050"/>
                        </a:xfrm>
                        <a:prstGeom prst="rect">
                          <a:avLst/>
                        </a:prstGeom>
                        <a:solidFill>
                          <a:srgbClr val="EAEBEC"/>
                        </a:solidFill>
                      </wps:spPr>
                      <wps:bodyPr/>
                    </wps:wsp>
                  </a:graphicData>
                </a:graphic>
              </wp:anchor>
            </w:drawing>
          </mc:Choice>
          <mc:Fallback>
            <w:pict>
              <v:rect id="Shape 54" o:spid="_x0000_s1079" style="position:absolute;margin-left:293.1pt;margin-top:-46pt;width:51.0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4370705</wp:posOffset>
                </wp:positionH>
                <wp:positionV relativeFrom="paragraph">
                  <wp:posOffset>-593090</wp:posOffset>
                </wp:positionV>
                <wp:extent cx="192405" cy="15557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2405" cy="155575"/>
                        </a:xfrm>
                        <a:prstGeom prst="rect">
                          <a:avLst/>
                        </a:prstGeom>
                        <a:solidFill>
                          <a:srgbClr val="EAEBEC"/>
                        </a:solidFill>
                      </wps:spPr>
                      <wps:bodyPr/>
                    </wps:wsp>
                  </a:graphicData>
                </a:graphic>
              </wp:anchor>
            </w:drawing>
          </mc:Choice>
          <mc:Fallback>
            <w:pict>
              <v:rect id="Shape 55" o:spid="_x0000_s1080" style="position:absolute;margin-left:344.15pt;margin-top:-46.6999pt;width:15.15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mc:AlternateContent>
          <mc:Choice Requires="wps">
            <w:drawing>
              <wp:anchor simplePos="0" relativeHeight="251657728" behindDoc="1" locked="0" layoutInCell="0" allowOverlap="1">
                <wp:simplePos x="0" y="0"/>
                <wp:positionH relativeFrom="column">
                  <wp:posOffset>4563110</wp:posOffset>
                </wp:positionH>
                <wp:positionV relativeFrom="paragraph">
                  <wp:posOffset>-584200</wp:posOffset>
                </wp:positionV>
                <wp:extent cx="649605" cy="14605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 cy="146050"/>
                        </a:xfrm>
                        <a:prstGeom prst="rect">
                          <a:avLst/>
                        </a:prstGeom>
                        <a:solidFill>
                          <a:srgbClr val="EAEBEC"/>
                        </a:solidFill>
                      </wps:spPr>
                      <wps:bodyPr/>
                    </wps:wsp>
                  </a:graphicData>
                </a:graphic>
              </wp:anchor>
            </w:drawing>
          </mc:Choice>
          <mc:Fallback>
            <w:pict>
              <v:rect id="Shape 56" o:spid="_x0000_s1081" style="position:absolute;margin-left:359.3pt;margin-top:-46pt;width:51.1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AEBEC" stroked="f"/>
            </w:pict>
          </mc:Fallback>
        </mc:AlternateContent>
      </w:r>
    </w:p>
    <w:p>
      <w:pPr>
        <w:spacing w:after="0" w:line="237"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The ABL Revolving Credit Facility is subject to an unused commitment fee. If the actual daily utilized portion exceeds 50%, the unused commitment fee is 0.25%. Otherwise, the unused commitment fee is 0.375% and is not dependent upon excess availability.</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9360"/>
          </w:cols>
          <w:pgMar w:left="1260" w:top="1240" w:right="126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231F20"/>
        </w:rPr>
        <w:t>8. Derivative Instruments</w:t>
      </w:r>
    </w:p>
    <w:p>
      <w:pPr>
        <w:spacing w:after="0" w:line="24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31F20"/>
        </w:rPr>
        <w:t>The Company's interest rate swap, caps and collars are accounted for as cash flow hedges because they are expected to be highly effective in hedging variable rate interest payments. Changes in the fair value of the cash flow hedges are reported as a component of AOCI. As of January 31, 2026, AOCI included unrealized losses of $1.0 million ($0.8 million, net of tax). As of February 1, 2025, AOCI included unrealized gains of $0.4 million ($0.3 million, net of tax). Approximately $0.6 million, $3.1 million, and $0.5 million of pre-tax gains deferred in AOCI were reclassified to interest expense during fiscal 2025, fiscal 2024, and fiscal 2023, respectively. The Company currently estimates that $ 0.1 million of losses related to trade date costs on its cash flow hedges that are currently deferred in AOCI will be reclassified to interest expense in the consolidated statement of operations within the next twelve months. This estimate could vary based on actual amounts as a result of changes in market conditions. The estimated fair value of the cash flow hedges are based upon Level 2 fair value hierarchy inputs (Note 1).</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The cash flow hedges are reflected in the Company’s consolidated balance sheets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231F20"/>
              </w:rPr>
              <w:t>January 31,</w:t>
            </w:r>
          </w:p>
        </w:tc>
        <w:tc>
          <w:tcPr>
            <w:tcW w:w="200" w:type="dxa"/>
            <w:vAlign w:val="bottom"/>
          </w:tcPr>
          <w:p>
            <w:pPr>
              <w:spacing w:after="0"/>
              <w:rPr>
                <w:sz w:val="16"/>
                <w:szCs w:val="16"/>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February 1,</w:t>
            </w:r>
          </w:p>
        </w:tc>
      </w:tr>
      <w:tr>
        <w:trPr>
          <w:trHeight w:val="203"/>
        </w:trPr>
        <w:tc>
          <w:tcPr>
            <w:tcW w:w="3400" w:type="dxa"/>
            <w:vAlign w:val="bottom"/>
            <w:tcBorders>
              <w:bottom w:val="single" w:sz="8" w:color="231F20"/>
            </w:tcBorders>
          </w:tcPr>
          <w:p>
            <w:pPr>
              <w:ind w:left="1060"/>
              <w:spacing w:after="0"/>
              <w:rPr>
                <w:sz w:val="20"/>
                <w:szCs w:val="20"/>
                <w:color w:val="auto"/>
              </w:rPr>
            </w:pPr>
            <w:r>
              <w:rPr>
                <w:rFonts w:ascii="Times New Roman" w:cs="Times New Roman" w:eastAsia="Times New Roman" w:hAnsi="Times New Roman"/>
                <w:sz w:val="16"/>
                <w:szCs w:val="16"/>
                <w:b w:val="1"/>
                <w:bCs w:val="1"/>
                <w:color w:val="231F20"/>
              </w:rPr>
              <w:t>Assets (Liabilities)</w:t>
            </w:r>
          </w:p>
        </w:tc>
        <w:tc>
          <w:tcPr>
            <w:tcW w:w="160" w:type="dxa"/>
            <w:vAlign w:val="bottom"/>
            <w:tcBorders>
              <w:bottom w:val="single" w:sz="8" w:color="EAEBEC"/>
            </w:tcBorders>
          </w:tcPr>
          <w:p>
            <w:pPr>
              <w:spacing w:after="0"/>
              <w:rPr>
                <w:sz w:val="17"/>
                <w:szCs w:val="17"/>
                <w:color w:val="auto"/>
              </w:rPr>
            </w:pPr>
          </w:p>
        </w:tc>
        <w:tc>
          <w:tcPr>
            <w:tcW w:w="2520" w:type="dxa"/>
            <w:vAlign w:val="bottom"/>
            <w:tcBorders>
              <w:bottom w:val="single" w:sz="8" w:color="231F20"/>
            </w:tcBorders>
          </w:tcPr>
          <w:p>
            <w:pPr>
              <w:ind w:left="500"/>
              <w:spacing w:after="0"/>
              <w:rPr>
                <w:sz w:val="20"/>
                <w:szCs w:val="20"/>
                <w:color w:val="auto"/>
              </w:rPr>
            </w:pPr>
            <w:r>
              <w:rPr>
                <w:rFonts w:ascii="Times New Roman" w:cs="Times New Roman" w:eastAsia="Times New Roman" w:hAnsi="Times New Roman"/>
                <w:sz w:val="16"/>
                <w:szCs w:val="16"/>
                <w:b w:val="1"/>
                <w:bCs w:val="1"/>
                <w:color w:val="231F20"/>
              </w:rPr>
              <w:t>Balance sheet location</w:t>
            </w:r>
          </w:p>
        </w:tc>
        <w:tc>
          <w:tcPr>
            <w:tcW w:w="140" w:type="dxa"/>
            <w:vAlign w:val="bottom"/>
            <w:tcBorders>
              <w:bottom w:val="single" w:sz="8" w:color="EAEBEC"/>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240" w:type="dxa"/>
            <w:vAlign w:val="bottom"/>
            <w:tcBorders>
              <w:bottom w:val="single" w:sz="8" w:color="EAEBEC"/>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ind w:right="486"/>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AEBEC"/>
            </w:tcBorders>
          </w:tcPr>
          <w:p>
            <w:pPr>
              <w:spacing w:after="0"/>
              <w:rPr>
                <w:sz w:val="17"/>
                <w:szCs w:val="17"/>
                <w:color w:val="auto"/>
              </w:rPr>
            </w:pPr>
          </w:p>
        </w:tc>
      </w:tr>
      <w:tr>
        <w:trPr>
          <w:trHeight w:val="239"/>
        </w:trPr>
        <w:tc>
          <w:tcPr>
            <w:tcW w:w="3400" w:type="dxa"/>
            <w:vAlign w:val="bottom"/>
            <w:shd w:val="clear" w:color="auto" w:fill="EAEBEC"/>
          </w:tcPr>
          <w:p>
            <w:pPr>
              <w:ind w:left="60"/>
              <w:spacing w:after="0"/>
              <w:rPr>
                <w:sz w:val="20"/>
                <w:szCs w:val="20"/>
                <w:color w:val="auto"/>
              </w:rPr>
            </w:pPr>
            <w:r>
              <w:rPr>
                <w:rFonts w:ascii="Times New Roman" w:cs="Times New Roman" w:eastAsia="Times New Roman" w:hAnsi="Times New Roman"/>
                <w:sz w:val="20"/>
                <w:szCs w:val="20"/>
                <w:color w:val="231F20"/>
                <w:w w:val="99"/>
                <w:shd w:val="clear" w:color="auto" w:fill="EAEBEC"/>
              </w:rPr>
              <w:t>Current asset portion of cash flow hedges</w:t>
            </w:r>
          </w:p>
        </w:tc>
        <w:tc>
          <w:tcPr>
            <w:tcW w:w="160" w:type="dxa"/>
            <w:vAlign w:val="bottom"/>
            <w:shd w:val="clear" w:color="auto" w:fill="EAEBEC"/>
          </w:tcPr>
          <w:p>
            <w:pPr>
              <w:spacing w:after="0"/>
              <w:rPr>
                <w:sz w:val="20"/>
                <w:szCs w:val="20"/>
                <w:color w:val="auto"/>
              </w:rPr>
            </w:pPr>
          </w:p>
        </w:tc>
        <w:tc>
          <w:tcPr>
            <w:tcW w:w="252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Other current assets</w:t>
            </w:r>
          </w:p>
        </w:tc>
        <w:tc>
          <w:tcPr>
            <w:tcW w:w="140" w:type="dxa"/>
            <w:vAlign w:val="bottom"/>
            <w:shd w:val="clear" w:color="auto" w:fill="EAEBEC"/>
          </w:tcPr>
          <w:p>
            <w:pPr>
              <w:spacing w:after="0"/>
              <w:rPr>
                <w:sz w:val="20"/>
                <w:szCs w:val="20"/>
                <w:color w:val="auto"/>
              </w:rPr>
            </w:pPr>
          </w:p>
        </w:tc>
        <w:tc>
          <w:tcPr>
            <w:tcW w:w="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40" w:type="dxa"/>
            <w:vAlign w:val="bottom"/>
            <w:shd w:val="clear" w:color="auto" w:fill="EAEBEC"/>
          </w:tcPr>
          <w:p>
            <w:pPr>
              <w:spacing w:after="0"/>
              <w:rPr>
                <w:sz w:val="20"/>
                <w:szCs w:val="20"/>
                <w:color w:val="auto"/>
              </w:rPr>
            </w:pPr>
          </w:p>
        </w:tc>
        <w:tc>
          <w:tcPr>
            <w:tcW w:w="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1,194</w:t>
            </w:r>
          </w:p>
        </w:tc>
        <w:tc>
          <w:tcPr>
            <w:tcW w:w="80" w:type="dxa"/>
            <w:vAlign w:val="bottom"/>
            <w:shd w:val="clear" w:color="auto" w:fill="EAEBEC"/>
          </w:tcPr>
          <w:p>
            <w:pPr>
              <w:spacing w:after="0"/>
              <w:rPr>
                <w:sz w:val="20"/>
                <w:szCs w:val="20"/>
                <w:color w:val="auto"/>
              </w:rPr>
            </w:pPr>
          </w:p>
        </w:tc>
      </w:tr>
      <w:tr>
        <w:trPr>
          <w:trHeight w:val="224"/>
        </w:trPr>
        <w:tc>
          <w:tcPr>
            <w:tcW w:w="3400" w:type="dxa"/>
            <w:vAlign w:val="bottom"/>
          </w:tcPr>
          <w:p>
            <w:pPr>
              <w:ind w:left="60"/>
              <w:spacing w:after="0" w:line="225" w:lineRule="exact"/>
              <w:rPr>
                <w:sz w:val="20"/>
                <w:szCs w:val="20"/>
                <w:color w:val="auto"/>
              </w:rPr>
            </w:pPr>
            <w:r>
              <w:rPr>
                <w:rFonts w:ascii="Times New Roman" w:cs="Times New Roman" w:eastAsia="Times New Roman" w:hAnsi="Times New Roman"/>
                <w:sz w:val="20"/>
                <w:szCs w:val="20"/>
                <w:color w:val="231F20"/>
              </w:rPr>
              <w:t>Non-current asset portion of cash flow</w:t>
            </w:r>
          </w:p>
        </w:tc>
        <w:tc>
          <w:tcPr>
            <w:tcW w:w="160" w:type="dxa"/>
            <w:vAlign w:val="bottom"/>
          </w:tcPr>
          <w:p>
            <w:pPr>
              <w:spacing w:after="0"/>
              <w:rPr>
                <w:sz w:val="19"/>
                <w:szCs w:val="19"/>
                <w:color w:val="auto"/>
              </w:rPr>
            </w:pPr>
          </w:p>
        </w:tc>
        <w:tc>
          <w:tcPr>
            <w:tcW w:w="25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Other long-term assets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340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hedges</w:t>
            </w:r>
          </w:p>
        </w:tc>
        <w:tc>
          <w:tcPr>
            <w:tcW w:w="1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746</w:t>
            </w:r>
          </w:p>
        </w:tc>
        <w:tc>
          <w:tcPr>
            <w:tcW w:w="80" w:type="dxa"/>
            <w:vAlign w:val="bottom"/>
          </w:tcPr>
          <w:p>
            <w:pPr>
              <w:spacing w:after="0"/>
              <w:rPr>
                <w:sz w:val="21"/>
                <w:szCs w:val="21"/>
                <w:color w:val="auto"/>
              </w:rPr>
            </w:pPr>
          </w:p>
        </w:tc>
      </w:tr>
      <w:tr>
        <w:trPr>
          <w:trHeight w:val="224"/>
        </w:trPr>
        <w:tc>
          <w:tcPr>
            <w:tcW w:w="3400" w:type="dxa"/>
            <w:vAlign w:val="bottom"/>
            <w:shd w:val="clear" w:color="auto" w:fill="EAEBEC"/>
          </w:tcPr>
          <w:p>
            <w:pPr>
              <w:ind w:left="60"/>
              <w:spacing w:after="0" w:line="225" w:lineRule="exact"/>
              <w:rPr>
                <w:sz w:val="20"/>
                <w:szCs w:val="20"/>
                <w:color w:val="auto"/>
              </w:rPr>
            </w:pPr>
            <w:r>
              <w:rPr>
                <w:rFonts w:ascii="Times New Roman" w:cs="Times New Roman" w:eastAsia="Times New Roman" w:hAnsi="Times New Roman"/>
                <w:sz w:val="20"/>
                <w:szCs w:val="20"/>
                <w:color w:val="231F20"/>
              </w:rPr>
              <w:t>Current liability portion of cash flow</w:t>
            </w:r>
          </w:p>
        </w:tc>
        <w:tc>
          <w:tcPr>
            <w:tcW w:w="160" w:type="dxa"/>
            <w:vAlign w:val="bottom"/>
            <w:shd w:val="clear" w:color="auto" w:fill="EAEBEC"/>
          </w:tcPr>
          <w:p>
            <w:pPr>
              <w:spacing w:after="0"/>
              <w:rPr>
                <w:sz w:val="19"/>
                <w:szCs w:val="19"/>
                <w:color w:val="auto"/>
              </w:rPr>
            </w:pPr>
          </w:p>
        </w:tc>
        <w:tc>
          <w:tcPr>
            <w:tcW w:w="2520" w:type="dxa"/>
            <w:vAlign w:val="bottom"/>
            <w:shd w:val="clear" w:color="auto" w:fill="EAEBEC"/>
          </w:tcPr>
          <w:p>
            <w:pPr>
              <w:spacing w:after="0" w:line="225" w:lineRule="exact"/>
              <w:rPr>
                <w:sz w:val="20"/>
                <w:szCs w:val="20"/>
                <w:color w:val="auto"/>
              </w:rPr>
            </w:pPr>
            <w:r>
              <w:rPr>
                <w:rFonts w:ascii="Times New Roman" w:cs="Times New Roman" w:eastAsia="Times New Roman" w:hAnsi="Times New Roman"/>
                <w:sz w:val="20"/>
                <w:szCs w:val="20"/>
                <w:color w:val="231F20"/>
              </w:rPr>
              <w:t>Accrued expenses and other</w:t>
            </w:r>
          </w:p>
        </w:tc>
        <w:tc>
          <w:tcPr>
            <w:tcW w:w="140" w:type="dxa"/>
            <w:vAlign w:val="bottom"/>
            <w:shd w:val="clear" w:color="auto" w:fill="EAEBEC"/>
          </w:tcPr>
          <w:p>
            <w:pPr>
              <w:spacing w:after="0"/>
              <w:rPr>
                <w:sz w:val="19"/>
                <w:szCs w:val="19"/>
                <w:color w:val="auto"/>
              </w:rPr>
            </w:pPr>
          </w:p>
        </w:tc>
        <w:tc>
          <w:tcPr>
            <w:tcW w:w="200" w:type="dxa"/>
            <w:vAlign w:val="bottom"/>
            <w:shd w:val="clear" w:color="auto" w:fill="EAEBEC"/>
          </w:tcPr>
          <w:p>
            <w:pPr>
              <w:spacing w:after="0"/>
              <w:rPr>
                <w:sz w:val="19"/>
                <w:szCs w:val="19"/>
                <w:color w:val="auto"/>
              </w:rPr>
            </w:pPr>
          </w:p>
        </w:tc>
        <w:tc>
          <w:tcPr>
            <w:tcW w:w="1180" w:type="dxa"/>
            <w:vAlign w:val="bottom"/>
            <w:shd w:val="clear" w:color="auto" w:fill="EAEBEC"/>
          </w:tcPr>
          <w:p>
            <w:pPr>
              <w:spacing w:after="0"/>
              <w:rPr>
                <w:sz w:val="19"/>
                <w:szCs w:val="19"/>
                <w:color w:val="auto"/>
              </w:rPr>
            </w:pPr>
          </w:p>
        </w:tc>
        <w:tc>
          <w:tcPr>
            <w:tcW w:w="240" w:type="dxa"/>
            <w:vAlign w:val="bottom"/>
            <w:shd w:val="clear" w:color="auto" w:fill="EAEBEC"/>
          </w:tcPr>
          <w:p>
            <w:pPr>
              <w:spacing w:after="0"/>
              <w:rPr>
                <w:sz w:val="19"/>
                <w:szCs w:val="19"/>
                <w:color w:val="auto"/>
              </w:rPr>
            </w:pPr>
          </w:p>
        </w:tc>
        <w:tc>
          <w:tcPr>
            <w:tcW w:w="200" w:type="dxa"/>
            <w:vAlign w:val="bottom"/>
            <w:shd w:val="clear" w:color="auto" w:fill="EAEBEC"/>
          </w:tcPr>
          <w:p>
            <w:pPr>
              <w:spacing w:after="0"/>
              <w:rPr>
                <w:sz w:val="19"/>
                <w:szCs w:val="19"/>
                <w:color w:val="auto"/>
              </w:rPr>
            </w:pPr>
          </w:p>
        </w:tc>
        <w:tc>
          <w:tcPr>
            <w:tcW w:w="1240" w:type="dxa"/>
            <w:vAlign w:val="bottom"/>
            <w:shd w:val="clear" w:color="auto" w:fill="EAEBEC"/>
          </w:tcPr>
          <w:p>
            <w:pPr>
              <w:spacing w:after="0"/>
              <w:rPr>
                <w:sz w:val="19"/>
                <w:szCs w:val="19"/>
                <w:color w:val="auto"/>
              </w:rPr>
            </w:pPr>
          </w:p>
        </w:tc>
        <w:tc>
          <w:tcPr>
            <w:tcW w:w="80" w:type="dxa"/>
            <w:vAlign w:val="bottom"/>
            <w:shd w:val="clear" w:color="auto" w:fill="EAEBEC"/>
          </w:tcPr>
          <w:p>
            <w:pPr>
              <w:spacing w:after="0"/>
              <w:rPr>
                <w:sz w:val="19"/>
                <w:szCs w:val="19"/>
                <w:color w:val="auto"/>
              </w:rPr>
            </w:pPr>
          </w:p>
        </w:tc>
      </w:tr>
      <w:tr>
        <w:trPr>
          <w:trHeight w:val="250"/>
        </w:trPr>
        <w:tc>
          <w:tcPr>
            <w:tcW w:w="3400" w:type="dxa"/>
            <w:vAlign w:val="bottom"/>
            <w:shd w:val="clear" w:color="auto" w:fill="EAEBEC"/>
          </w:tcPr>
          <w:p>
            <w:pPr>
              <w:ind w:left="160"/>
              <w:spacing w:after="0"/>
              <w:rPr>
                <w:sz w:val="20"/>
                <w:szCs w:val="20"/>
                <w:color w:val="auto"/>
              </w:rPr>
            </w:pPr>
            <w:r>
              <w:rPr>
                <w:rFonts w:ascii="Times New Roman" w:cs="Times New Roman" w:eastAsia="Times New Roman" w:hAnsi="Times New Roman"/>
                <w:sz w:val="20"/>
                <w:szCs w:val="20"/>
                <w:color w:val="231F20"/>
              </w:rPr>
              <w:t>hedges</w:t>
            </w:r>
          </w:p>
        </w:tc>
        <w:tc>
          <w:tcPr>
            <w:tcW w:w="160" w:type="dxa"/>
            <w:vAlign w:val="bottom"/>
            <w:shd w:val="clear" w:color="auto" w:fill="EAEBEC"/>
          </w:tcPr>
          <w:p>
            <w:pPr>
              <w:spacing w:after="0"/>
              <w:rPr>
                <w:sz w:val="21"/>
                <w:szCs w:val="21"/>
                <w:color w:val="auto"/>
              </w:rPr>
            </w:pPr>
          </w:p>
        </w:tc>
        <w:tc>
          <w:tcPr>
            <w:tcW w:w="2520" w:type="dxa"/>
            <w:vAlign w:val="bottom"/>
            <w:shd w:val="clear" w:color="auto" w:fill="EAEBEC"/>
          </w:tcPr>
          <w:p>
            <w:pPr>
              <w:ind w:left="140"/>
              <w:spacing w:after="0"/>
              <w:rPr>
                <w:sz w:val="20"/>
                <w:szCs w:val="20"/>
                <w:color w:val="auto"/>
              </w:rPr>
            </w:pPr>
            <w:r>
              <w:rPr>
                <w:rFonts w:ascii="Times New Roman" w:cs="Times New Roman" w:eastAsia="Times New Roman" w:hAnsi="Times New Roman"/>
                <w:sz w:val="20"/>
                <w:szCs w:val="20"/>
                <w:color w:val="231F20"/>
              </w:rPr>
              <w:t>liabilities</w:t>
            </w:r>
          </w:p>
        </w:tc>
        <w:tc>
          <w:tcPr>
            <w:tcW w:w="140" w:type="dxa"/>
            <w:vAlign w:val="bottom"/>
            <w:shd w:val="clear" w:color="auto" w:fill="EAEBEC"/>
          </w:tcPr>
          <w:p>
            <w:pPr>
              <w:spacing w:after="0"/>
              <w:rPr>
                <w:sz w:val="21"/>
                <w:szCs w:val="21"/>
                <w:color w:val="auto"/>
              </w:rPr>
            </w:pPr>
          </w:p>
        </w:tc>
        <w:tc>
          <w:tcPr>
            <w:tcW w:w="200" w:type="dxa"/>
            <w:vAlign w:val="bottom"/>
            <w:shd w:val="clear" w:color="auto" w:fill="EAEBEC"/>
          </w:tcPr>
          <w:p>
            <w:pPr>
              <w:spacing w:after="0"/>
              <w:rPr>
                <w:sz w:val="21"/>
                <w:szCs w:val="21"/>
                <w:color w:val="auto"/>
              </w:rPr>
            </w:pPr>
          </w:p>
        </w:tc>
        <w:tc>
          <w:tcPr>
            <w:tcW w:w="142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(853)</w:t>
            </w:r>
          </w:p>
        </w:tc>
        <w:tc>
          <w:tcPr>
            <w:tcW w:w="200" w:type="dxa"/>
            <w:vAlign w:val="bottom"/>
            <w:shd w:val="clear" w:color="auto" w:fill="EAEBEC"/>
          </w:tcPr>
          <w:p>
            <w:pPr>
              <w:spacing w:after="0"/>
              <w:rPr>
                <w:sz w:val="21"/>
                <w:szCs w:val="21"/>
                <w:color w:val="auto"/>
              </w:rPr>
            </w:pPr>
          </w:p>
        </w:tc>
        <w:tc>
          <w:tcPr>
            <w:tcW w:w="132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(107)</w:t>
            </w:r>
          </w:p>
        </w:tc>
      </w:tr>
      <w:tr>
        <w:trPr>
          <w:trHeight w:val="224"/>
        </w:trPr>
        <w:tc>
          <w:tcPr>
            <w:tcW w:w="3400" w:type="dxa"/>
            <w:vAlign w:val="bottom"/>
          </w:tcPr>
          <w:p>
            <w:pPr>
              <w:ind w:left="60"/>
              <w:spacing w:after="0" w:line="225" w:lineRule="exact"/>
              <w:rPr>
                <w:sz w:val="20"/>
                <w:szCs w:val="20"/>
                <w:color w:val="auto"/>
              </w:rPr>
            </w:pPr>
            <w:r>
              <w:rPr>
                <w:rFonts w:ascii="Times New Roman" w:cs="Times New Roman" w:eastAsia="Times New Roman" w:hAnsi="Times New Roman"/>
                <w:sz w:val="20"/>
                <w:szCs w:val="20"/>
                <w:color w:val="231F20"/>
              </w:rPr>
              <w:t>Non-current liability portion of cash flow</w:t>
            </w:r>
          </w:p>
        </w:tc>
        <w:tc>
          <w:tcPr>
            <w:tcW w:w="160" w:type="dxa"/>
            <w:vAlign w:val="bottom"/>
          </w:tcPr>
          <w:p>
            <w:pPr>
              <w:spacing w:after="0"/>
              <w:rPr>
                <w:sz w:val="19"/>
                <w:szCs w:val="19"/>
                <w:color w:val="auto"/>
              </w:rPr>
            </w:pPr>
          </w:p>
        </w:tc>
        <w:tc>
          <w:tcPr>
            <w:tcW w:w="25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Other long-term liabilities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340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hedges</w:t>
            </w:r>
          </w:p>
        </w:tc>
        <w:tc>
          <w:tcPr>
            <w:tcW w:w="1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(554)</w:t>
            </w:r>
          </w:p>
        </w:tc>
      </w:tr>
      <w:tr>
        <w:trPr>
          <w:trHeight w:val="259"/>
        </w:trPr>
        <w:tc>
          <w:tcPr>
            <w:tcW w:w="3400" w:type="dxa"/>
            <w:vAlign w:val="bottom"/>
            <w:tcBorders>
              <w:top w:val="single" w:sz="8" w:color="EAEBEC"/>
              <w:bottom w:val="single" w:sz="8" w:color="EAEBEC"/>
            </w:tcBorders>
            <w:shd w:val="clear" w:color="auto" w:fill="EAEBEC"/>
          </w:tcPr>
          <w:p>
            <w:pPr>
              <w:ind w:left="60"/>
              <w:spacing w:after="0"/>
              <w:rPr>
                <w:sz w:val="20"/>
                <w:szCs w:val="20"/>
                <w:color w:val="auto"/>
              </w:rPr>
            </w:pPr>
            <w:r>
              <w:rPr>
                <w:rFonts w:ascii="Times New Roman" w:cs="Times New Roman" w:eastAsia="Times New Roman" w:hAnsi="Times New Roman"/>
                <w:sz w:val="20"/>
                <w:szCs w:val="20"/>
                <w:color w:val="231F20"/>
              </w:rPr>
              <w:t>Total cash flow hedges</w:t>
            </w:r>
          </w:p>
        </w:tc>
        <w:tc>
          <w:tcPr>
            <w:tcW w:w="160" w:type="dxa"/>
            <w:vAlign w:val="bottom"/>
            <w:tcBorders>
              <w:top w:val="single" w:sz="8" w:color="EAEBEC"/>
              <w:bottom w:val="single" w:sz="8" w:color="EAEBEC"/>
            </w:tcBorders>
            <w:shd w:val="clear" w:color="auto" w:fill="EAEBEC"/>
          </w:tcPr>
          <w:p>
            <w:pPr>
              <w:spacing w:after="0"/>
              <w:rPr>
                <w:sz w:val="22"/>
                <w:szCs w:val="22"/>
                <w:color w:val="auto"/>
              </w:rPr>
            </w:pPr>
          </w:p>
        </w:tc>
        <w:tc>
          <w:tcPr>
            <w:tcW w:w="2520" w:type="dxa"/>
            <w:vAlign w:val="bottom"/>
            <w:tcBorders>
              <w:top w:val="single" w:sz="8" w:color="EAEBEC"/>
              <w:bottom w:val="single" w:sz="8" w:color="EAEBEC"/>
            </w:tcBorders>
            <w:shd w:val="clear" w:color="auto" w:fill="EAEBEC"/>
          </w:tcPr>
          <w:p>
            <w:pPr>
              <w:spacing w:after="0"/>
              <w:rPr>
                <w:sz w:val="22"/>
                <w:szCs w:val="22"/>
                <w:color w:val="auto"/>
              </w:rPr>
            </w:pPr>
          </w:p>
        </w:tc>
        <w:tc>
          <w:tcPr>
            <w:tcW w:w="140" w:type="dxa"/>
            <w:vAlign w:val="bottom"/>
            <w:tcBorders>
              <w:top w:val="single" w:sz="8" w:color="EAEBEC"/>
              <w:bottom w:val="single" w:sz="8" w:color="EAEBEC"/>
            </w:tcBorders>
            <w:shd w:val="clear" w:color="auto" w:fill="EAEBEC"/>
          </w:tcPr>
          <w:p>
            <w:pPr>
              <w:spacing w:after="0"/>
              <w:rPr>
                <w:sz w:val="22"/>
                <w:szCs w:val="22"/>
                <w:color w:val="auto"/>
              </w:rPr>
            </w:pPr>
          </w:p>
        </w:tc>
        <w:tc>
          <w:tcPr>
            <w:tcW w:w="20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(853)</w:t>
            </w:r>
          </w:p>
        </w:tc>
        <w:tc>
          <w:tcPr>
            <w:tcW w:w="240" w:type="dxa"/>
            <w:vAlign w:val="bottom"/>
            <w:tcBorders>
              <w:top w:val="single" w:sz="8" w:color="EAEBEC"/>
              <w:bottom w:val="single" w:sz="8" w:color="EAEBEC"/>
            </w:tcBorders>
            <w:shd w:val="clear" w:color="auto" w:fill="EAEBEC"/>
          </w:tcPr>
          <w:p>
            <w:pPr>
              <w:spacing w:after="0"/>
              <w:rPr>
                <w:sz w:val="22"/>
                <w:szCs w:val="22"/>
                <w:color w:val="auto"/>
              </w:rPr>
            </w:pPr>
          </w:p>
        </w:tc>
        <w:tc>
          <w:tcPr>
            <w:tcW w:w="20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1,279</w:t>
            </w:r>
          </w:p>
        </w:tc>
        <w:tc>
          <w:tcPr>
            <w:tcW w:w="80" w:type="dxa"/>
            <w:vAlign w:val="bottom"/>
            <w:tcBorders>
              <w:top w:val="single" w:sz="8" w:color="EAEBEC"/>
              <w:bottom w:val="single" w:sz="8" w:color="EAEBEC"/>
            </w:tcBorders>
            <w:shd w:val="clear" w:color="auto" w:fill="EAEBEC"/>
          </w:tcPr>
          <w:p>
            <w:pPr>
              <w:spacing w:after="0"/>
              <w:rPr>
                <w:sz w:val="22"/>
                <w:szCs w:val="22"/>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231F20"/>
        </w:rPr>
        <w:t>Although the Company is exposed to credit loss in the event of nonperformance by its counterparties, credit risk is considered limited due to the credit ratings of the counterparties and the use of a master netting agreement, which permits the netting of derivative payables and receivables. The Company has not historically incurred and does not expect to incur in the future any losses as a result of counterparty default. The notional amount of the Company’s outstanding derivatives is not an indicator of the magnitude of potential exposure.</w:t>
      </w:r>
    </w:p>
    <w:p>
      <w:pPr>
        <w:spacing w:after="0" w:line="197"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31F20"/>
        </w:rPr>
        <w:t>The cash flow hedge agreements contain provisions that would be triggered in the event the Company defaults on its debt agreements (Note 7), which in turn could impact the assessment of hedge effectiveness or cause termination of the underlying cash flow hedge agreements. As of January 31, 2026, no events of default have occurred. There is no collateral posting requirement outside the provisions in the debt agreements.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9. Fair Value Measurements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Assets and Liabilities Measured on a Recurring Basis</w:t>
      </w:r>
    </w:p>
    <w:p>
      <w:pPr>
        <w:spacing w:after="0" w:line="120"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31F20"/>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231F20"/>
              </w:rPr>
              <w:t>January 31, 2026</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25"/>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16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60" w:type="dxa"/>
            <w:vAlign w:val="bottom"/>
          </w:tcPr>
          <w:p>
            <w:pPr>
              <w:spacing w:after="0"/>
              <w:rPr>
                <w:sz w:val="17"/>
                <w:szCs w:val="17"/>
                <w:color w:val="auto"/>
              </w:rPr>
            </w:pPr>
          </w:p>
        </w:tc>
      </w:tr>
      <w:tr>
        <w:trPr>
          <w:trHeight w:val="239"/>
        </w:trPr>
        <w:tc>
          <w:tcPr>
            <w:tcW w:w="4260" w:type="dxa"/>
            <w:vAlign w:val="bottom"/>
            <w:tcBorders>
              <w:top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Assets (liabilities):</w:t>
            </w:r>
          </w:p>
        </w:tc>
        <w:tc>
          <w:tcPr>
            <w:tcW w:w="160" w:type="dxa"/>
            <w:vAlign w:val="bottom"/>
            <w:tcBorders>
              <w:top w:val="single" w:sz="8" w:color="231F20"/>
            </w:tcBorders>
            <w:shd w:val="clear" w:color="auto" w:fill="EAEBEC"/>
          </w:tcPr>
          <w:p>
            <w:pPr>
              <w:spacing w:after="0"/>
              <w:rPr>
                <w:sz w:val="20"/>
                <w:szCs w:val="20"/>
                <w:color w:val="auto"/>
              </w:rPr>
            </w:pPr>
          </w:p>
        </w:tc>
        <w:tc>
          <w:tcPr>
            <w:tcW w:w="780" w:type="dxa"/>
            <w:vAlign w:val="bottom"/>
            <w:tcBorders>
              <w:top w:val="single" w:sz="8" w:color="231F20"/>
            </w:tcBorders>
            <w:shd w:val="clear" w:color="auto" w:fill="EAEBEC"/>
          </w:tcPr>
          <w:p>
            <w:pPr>
              <w:spacing w:after="0"/>
              <w:rPr>
                <w:sz w:val="20"/>
                <w:szCs w:val="20"/>
                <w:color w:val="auto"/>
              </w:rPr>
            </w:pPr>
          </w:p>
        </w:tc>
        <w:tc>
          <w:tcPr>
            <w:tcW w:w="180" w:type="dxa"/>
            <w:vAlign w:val="bottom"/>
            <w:tcBorders>
              <w:top w:val="single" w:sz="8" w:color="EAEBEC"/>
            </w:tcBorders>
            <w:shd w:val="clear" w:color="auto" w:fill="EAEBEC"/>
          </w:tcPr>
          <w:p>
            <w:pPr>
              <w:spacing w:after="0"/>
              <w:rPr>
                <w:sz w:val="20"/>
                <w:szCs w:val="20"/>
                <w:color w:val="auto"/>
              </w:rPr>
            </w:pPr>
          </w:p>
        </w:tc>
        <w:tc>
          <w:tcPr>
            <w:tcW w:w="160" w:type="dxa"/>
            <w:vAlign w:val="bottom"/>
            <w:tcBorders>
              <w:top w:val="single" w:sz="8" w:color="231F20"/>
            </w:tcBorders>
            <w:shd w:val="clear" w:color="auto" w:fill="EAEBEC"/>
          </w:tcPr>
          <w:p>
            <w:pPr>
              <w:spacing w:after="0"/>
              <w:rPr>
                <w:sz w:val="20"/>
                <w:szCs w:val="20"/>
                <w:color w:val="auto"/>
              </w:rPr>
            </w:pPr>
          </w:p>
        </w:tc>
        <w:tc>
          <w:tcPr>
            <w:tcW w:w="760" w:type="dxa"/>
            <w:vAlign w:val="bottom"/>
            <w:tcBorders>
              <w:top w:val="single" w:sz="8" w:color="231F20"/>
            </w:tcBorders>
            <w:shd w:val="clear" w:color="auto" w:fill="EAEBEC"/>
          </w:tcPr>
          <w:p>
            <w:pPr>
              <w:spacing w:after="0"/>
              <w:rPr>
                <w:sz w:val="20"/>
                <w:szCs w:val="20"/>
                <w:color w:val="auto"/>
              </w:rPr>
            </w:pPr>
          </w:p>
        </w:tc>
        <w:tc>
          <w:tcPr>
            <w:tcW w:w="180" w:type="dxa"/>
            <w:vAlign w:val="bottom"/>
            <w:tcBorders>
              <w:top w:val="single" w:sz="8" w:color="EAEBEC"/>
            </w:tcBorders>
            <w:shd w:val="clear" w:color="auto" w:fill="EAEBEC"/>
          </w:tcPr>
          <w:p>
            <w:pPr>
              <w:spacing w:after="0"/>
              <w:rPr>
                <w:sz w:val="20"/>
                <w:szCs w:val="20"/>
                <w:color w:val="auto"/>
              </w:rPr>
            </w:pPr>
          </w:p>
        </w:tc>
        <w:tc>
          <w:tcPr>
            <w:tcW w:w="160" w:type="dxa"/>
            <w:vAlign w:val="bottom"/>
            <w:tcBorders>
              <w:top w:val="single" w:sz="8" w:color="231F20"/>
            </w:tcBorders>
            <w:shd w:val="clear" w:color="auto" w:fill="EAEBEC"/>
          </w:tcPr>
          <w:p>
            <w:pPr>
              <w:spacing w:after="0"/>
              <w:rPr>
                <w:sz w:val="20"/>
                <w:szCs w:val="20"/>
                <w:color w:val="auto"/>
              </w:rPr>
            </w:pPr>
          </w:p>
        </w:tc>
        <w:tc>
          <w:tcPr>
            <w:tcW w:w="780" w:type="dxa"/>
            <w:vAlign w:val="bottom"/>
            <w:tcBorders>
              <w:top w:val="single" w:sz="8" w:color="231F20"/>
            </w:tcBorders>
            <w:shd w:val="clear" w:color="auto" w:fill="EAEBEC"/>
          </w:tcPr>
          <w:p>
            <w:pPr>
              <w:spacing w:after="0"/>
              <w:rPr>
                <w:sz w:val="20"/>
                <w:szCs w:val="20"/>
                <w:color w:val="auto"/>
              </w:rPr>
            </w:pPr>
          </w:p>
        </w:tc>
        <w:tc>
          <w:tcPr>
            <w:tcW w:w="60" w:type="dxa"/>
            <w:vAlign w:val="bottom"/>
            <w:tcBorders>
              <w:top w:val="single" w:sz="8" w:color="EAEBEC"/>
            </w:tcBorders>
            <w:shd w:val="clear" w:color="auto" w:fill="EAEBEC"/>
          </w:tcPr>
          <w:p>
            <w:pPr>
              <w:spacing w:after="0"/>
              <w:rPr>
                <w:sz w:val="20"/>
                <w:szCs w:val="20"/>
                <w:color w:val="auto"/>
              </w:rPr>
            </w:pPr>
          </w:p>
        </w:tc>
      </w:tr>
      <w:tr>
        <w:trPr>
          <w:trHeight w:val="244"/>
        </w:trPr>
        <w:tc>
          <w:tcPr>
            <w:tcW w:w="4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Money market mutual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216,676</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tcPr>
          <w:p>
            <w:pPr>
              <w:spacing w:after="0"/>
              <w:rPr>
                <w:sz w:val="21"/>
                <w:szCs w:val="21"/>
                <w:color w:val="auto"/>
              </w:rPr>
            </w:pPr>
          </w:p>
        </w:tc>
      </w:tr>
      <w:tr>
        <w:trPr>
          <w:trHeight w:val="244"/>
        </w:trPr>
        <w:tc>
          <w:tcPr>
            <w:tcW w:w="42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Investments of officers' life insurance</w:t>
            </w:r>
          </w:p>
        </w:tc>
        <w:tc>
          <w:tcPr>
            <w:tcW w:w="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16,109</w:t>
            </w:r>
          </w:p>
        </w:tc>
        <w:tc>
          <w:tcPr>
            <w:tcW w:w="180" w:type="dxa"/>
            <w:vAlign w:val="bottom"/>
            <w:shd w:val="clear" w:color="auto" w:fill="EAEBEC"/>
          </w:tcPr>
          <w:p>
            <w:pPr>
              <w:spacing w:after="0"/>
              <w:rPr>
                <w:sz w:val="21"/>
                <w:szCs w:val="21"/>
                <w:color w:val="auto"/>
              </w:rPr>
            </w:pPr>
          </w:p>
        </w:tc>
        <w:tc>
          <w:tcPr>
            <w:tcW w:w="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shd w:val="clear" w:color="auto" w:fill="EAEBEC"/>
          </w:tcPr>
          <w:p>
            <w:pPr>
              <w:ind w:left="560"/>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shd w:val="clear" w:color="auto" w:fill="EAEBEC"/>
          </w:tcPr>
          <w:p>
            <w:pPr>
              <w:spacing w:after="0"/>
              <w:rPr>
                <w:sz w:val="21"/>
                <w:szCs w:val="21"/>
                <w:color w:val="auto"/>
              </w:rPr>
            </w:pPr>
          </w:p>
        </w:tc>
      </w:tr>
      <w:tr>
        <w:trPr>
          <w:trHeight w:val="266"/>
        </w:trPr>
        <w:tc>
          <w:tcPr>
            <w:tcW w:w="4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Non-qualified deferred compensation plan</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(13,447)</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-792480</wp:posOffset>
            </wp:positionV>
            <wp:extent cx="204089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5">
                      <a:extLst>
                        <a:ext uri="{28A0092B-C50C-407E-A947-70E740481C1C}"/>
                      </a:extLst>
                    </a:blip>
                    <a:srcRect/>
                    <a:stretch>
                      <a:fillRect/>
                    </a:stretch>
                  </pic:blipFill>
                  <pic:spPr bwMode="auto">
                    <a:xfrm>
                      <a:off x="0" y="0"/>
                      <a:ext cx="2040890" cy="38100"/>
                    </a:xfrm>
                    <a:prstGeom prst="rect">
                      <a:avLst/>
                    </a:prstGeom>
                    <a:noFill/>
                  </pic:spPr>
                </pic:pic>
              </a:graphicData>
            </a:graphic>
          </wp:anchor>
        </w:drawing>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87</w:t>
      </w:r>
    </w:p>
    <w:p>
      <w:pPr>
        <w:sectPr>
          <w:pgSz w:w="11880" w:h="15480" w:orient="portrait"/>
          <w:cols w:equalWidth="0" w:num="1">
            <w:col w:w="9360"/>
          </w:cols>
          <w:pgMar w:left="1260" w:top="1236" w:right="1260" w:bottom="0" w:gutter="0" w:footer="0" w:header="0"/>
          <w:type w:val="continuous"/>
        </w:sectPr>
      </w:pPr>
    </w:p>
    <w:bookmarkStart w:id="97" w:name="page98"/>
    <w:bookmarkEnd w:id="97"/>
    <w:p>
      <w:pPr>
        <w:spacing w:after="0" w:line="91"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231F20"/>
              </w:rPr>
              <w:t>February 1, 2025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45"/>
              <w:spacing w:after="0"/>
              <w:rPr>
                <w:sz w:val="20"/>
                <w:szCs w:val="20"/>
                <w:color w:val="auto"/>
              </w:rPr>
            </w:pPr>
            <w:r>
              <w:rPr>
                <w:rFonts w:ascii="Times New Roman" w:cs="Times New Roman" w:eastAsia="Times New Roman" w:hAnsi="Times New Roman"/>
                <w:sz w:val="16"/>
                <w:szCs w:val="16"/>
                <w:b w:val="1"/>
                <w:bCs w:val="1"/>
                <w:color w:val="231F20"/>
              </w:rPr>
              <w:t>Level 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231F20"/>
              </w:rPr>
              <w:t>Level 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231F20"/>
              </w:rPr>
              <w:t>Level 3</w:t>
            </w:r>
          </w:p>
        </w:tc>
        <w:tc>
          <w:tcPr>
            <w:tcW w:w="60" w:type="dxa"/>
            <w:vAlign w:val="bottom"/>
          </w:tcPr>
          <w:p>
            <w:pPr>
              <w:spacing w:after="0"/>
              <w:rPr>
                <w:sz w:val="17"/>
                <w:szCs w:val="17"/>
                <w:color w:val="auto"/>
              </w:rPr>
            </w:pPr>
          </w:p>
        </w:tc>
      </w:tr>
      <w:tr>
        <w:trPr>
          <w:trHeight w:val="239"/>
        </w:trPr>
        <w:tc>
          <w:tcPr>
            <w:tcW w:w="4260" w:type="dxa"/>
            <w:vAlign w:val="bottom"/>
            <w:tcBorders>
              <w:top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Assets (liabilities):</w:t>
            </w:r>
          </w:p>
        </w:tc>
        <w:tc>
          <w:tcPr>
            <w:tcW w:w="160" w:type="dxa"/>
            <w:vAlign w:val="bottom"/>
            <w:tcBorders>
              <w:top w:val="single" w:sz="8" w:color="231F20"/>
            </w:tcBorders>
            <w:shd w:val="clear" w:color="auto" w:fill="EAEBEC"/>
          </w:tcPr>
          <w:p>
            <w:pPr>
              <w:spacing w:after="0"/>
              <w:rPr>
                <w:sz w:val="20"/>
                <w:szCs w:val="20"/>
                <w:color w:val="auto"/>
              </w:rPr>
            </w:pPr>
          </w:p>
        </w:tc>
        <w:tc>
          <w:tcPr>
            <w:tcW w:w="780" w:type="dxa"/>
            <w:vAlign w:val="bottom"/>
            <w:tcBorders>
              <w:top w:val="single" w:sz="8" w:color="231F20"/>
            </w:tcBorders>
            <w:shd w:val="clear" w:color="auto" w:fill="EAEBEC"/>
          </w:tcPr>
          <w:p>
            <w:pPr>
              <w:spacing w:after="0"/>
              <w:rPr>
                <w:sz w:val="20"/>
                <w:szCs w:val="20"/>
                <w:color w:val="auto"/>
              </w:rPr>
            </w:pPr>
          </w:p>
        </w:tc>
        <w:tc>
          <w:tcPr>
            <w:tcW w:w="160" w:type="dxa"/>
            <w:vAlign w:val="bottom"/>
            <w:tcBorders>
              <w:top w:val="single" w:sz="8" w:color="EAEBEC"/>
            </w:tcBorders>
            <w:shd w:val="clear" w:color="auto" w:fill="EAEBEC"/>
          </w:tcPr>
          <w:p>
            <w:pPr>
              <w:spacing w:after="0"/>
              <w:rPr>
                <w:sz w:val="20"/>
                <w:szCs w:val="20"/>
                <w:color w:val="auto"/>
              </w:rPr>
            </w:pPr>
          </w:p>
        </w:tc>
        <w:tc>
          <w:tcPr>
            <w:tcW w:w="160" w:type="dxa"/>
            <w:vAlign w:val="bottom"/>
            <w:tcBorders>
              <w:top w:val="single" w:sz="8" w:color="231F20"/>
            </w:tcBorders>
            <w:shd w:val="clear" w:color="auto" w:fill="EAEBEC"/>
          </w:tcPr>
          <w:p>
            <w:pPr>
              <w:spacing w:after="0"/>
              <w:rPr>
                <w:sz w:val="20"/>
                <w:szCs w:val="20"/>
                <w:color w:val="auto"/>
              </w:rPr>
            </w:pPr>
          </w:p>
        </w:tc>
        <w:tc>
          <w:tcPr>
            <w:tcW w:w="780" w:type="dxa"/>
            <w:vAlign w:val="bottom"/>
            <w:tcBorders>
              <w:top w:val="single" w:sz="8" w:color="231F20"/>
            </w:tcBorders>
            <w:shd w:val="clear" w:color="auto" w:fill="EAEBEC"/>
          </w:tcPr>
          <w:p>
            <w:pPr>
              <w:spacing w:after="0"/>
              <w:rPr>
                <w:sz w:val="20"/>
                <w:szCs w:val="20"/>
                <w:color w:val="auto"/>
              </w:rPr>
            </w:pPr>
          </w:p>
        </w:tc>
        <w:tc>
          <w:tcPr>
            <w:tcW w:w="160" w:type="dxa"/>
            <w:vAlign w:val="bottom"/>
            <w:tcBorders>
              <w:top w:val="single" w:sz="8" w:color="EAEBEC"/>
            </w:tcBorders>
            <w:shd w:val="clear" w:color="auto" w:fill="EAEBEC"/>
          </w:tcPr>
          <w:p>
            <w:pPr>
              <w:spacing w:after="0"/>
              <w:rPr>
                <w:sz w:val="20"/>
                <w:szCs w:val="20"/>
                <w:color w:val="auto"/>
              </w:rPr>
            </w:pPr>
          </w:p>
        </w:tc>
        <w:tc>
          <w:tcPr>
            <w:tcW w:w="20" w:type="dxa"/>
            <w:vAlign w:val="bottom"/>
            <w:tcBorders>
              <w:top w:val="single" w:sz="8" w:color="EAEBEC"/>
            </w:tcBorders>
            <w:shd w:val="clear" w:color="auto" w:fill="EAEBEC"/>
          </w:tcPr>
          <w:p>
            <w:pPr>
              <w:spacing w:after="0"/>
              <w:rPr>
                <w:sz w:val="20"/>
                <w:szCs w:val="20"/>
                <w:color w:val="auto"/>
              </w:rPr>
            </w:pPr>
          </w:p>
        </w:tc>
        <w:tc>
          <w:tcPr>
            <w:tcW w:w="160" w:type="dxa"/>
            <w:vAlign w:val="bottom"/>
            <w:tcBorders>
              <w:top w:val="single" w:sz="8" w:color="231F20"/>
            </w:tcBorders>
            <w:shd w:val="clear" w:color="auto" w:fill="EAEBEC"/>
          </w:tcPr>
          <w:p>
            <w:pPr>
              <w:spacing w:after="0"/>
              <w:rPr>
                <w:sz w:val="20"/>
                <w:szCs w:val="20"/>
                <w:color w:val="auto"/>
              </w:rPr>
            </w:pPr>
          </w:p>
        </w:tc>
        <w:tc>
          <w:tcPr>
            <w:tcW w:w="780" w:type="dxa"/>
            <w:vAlign w:val="bottom"/>
            <w:tcBorders>
              <w:top w:val="single" w:sz="8" w:color="231F20"/>
            </w:tcBorders>
            <w:shd w:val="clear" w:color="auto" w:fill="EAEBEC"/>
          </w:tcPr>
          <w:p>
            <w:pPr>
              <w:spacing w:after="0"/>
              <w:rPr>
                <w:sz w:val="20"/>
                <w:szCs w:val="20"/>
                <w:color w:val="auto"/>
              </w:rPr>
            </w:pPr>
          </w:p>
        </w:tc>
        <w:tc>
          <w:tcPr>
            <w:tcW w:w="60" w:type="dxa"/>
            <w:vAlign w:val="bottom"/>
            <w:tcBorders>
              <w:top w:val="single" w:sz="8" w:color="EAEBEC"/>
            </w:tcBorders>
            <w:shd w:val="clear" w:color="auto" w:fill="EAEBEC"/>
          </w:tcPr>
          <w:p>
            <w:pPr>
              <w:spacing w:after="0"/>
              <w:rPr>
                <w:sz w:val="20"/>
                <w:szCs w:val="20"/>
                <w:color w:val="auto"/>
              </w:rPr>
            </w:pPr>
          </w:p>
        </w:tc>
      </w:tr>
      <w:tr>
        <w:trPr>
          <w:trHeight w:val="244"/>
        </w:trPr>
        <w:tc>
          <w:tcPr>
            <w:tcW w:w="4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Money market mutual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127,109</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tcPr>
          <w:p>
            <w:pPr>
              <w:spacing w:after="0"/>
              <w:rPr>
                <w:sz w:val="21"/>
                <w:szCs w:val="21"/>
                <w:color w:val="auto"/>
              </w:rPr>
            </w:pPr>
          </w:p>
        </w:tc>
      </w:tr>
      <w:tr>
        <w:trPr>
          <w:trHeight w:val="244"/>
        </w:trPr>
        <w:tc>
          <w:tcPr>
            <w:tcW w:w="42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Investments of officers' life insurance</w:t>
            </w:r>
          </w:p>
        </w:tc>
        <w:tc>
          <w:tcPr>
            <w:tcW w:w="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7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14,630</w:t>
            </w:r>
          </w:p>
        </w:tc>
        <w:tc>
          <w:tcPr>
            <w:tcW w:w="160" w:type="dxa"/>
            <w:vAlign w:val="bottom"/>
            <w:shd w:val="clear" w:color="auto" w:fill="EAEBEC"/>
          </w:tcPr>
          <w:p>
            <w:pPr>
              <w:spacing w:after="0"/>
              <w:rPr>
                <w:sz w:val="21"/>
                <w:szCs w:val="21"/>
                <w:color w:val="auto"/>
              </w:rPr>
            </w:pPr>
          </w:p>
        </w:tc>
        <w:tc>
          <w:tcPr>
            <w:tcW w:w="18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780" w:type="dxa"/>
            <w:vAlign w:val="bottom"/>
            <w:shd w:val="clear" w:color="auto" w:fill="EAEBEC"/>
          </w:tcPr>
          <w:p>
            <w:pPr>
              <w:ind w:left="560"/>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shd w:val="clear" w:color="auto" w:fill="EAEBEC"/>
          </w:tcPr>
          <w:p>
            <w:pPr>
              <w:spacing w:after="0"/>
              <w:rPr>
                <w:sz w:val="21"/>
                <w:szCs w:val="21"/>
                <w:color w:val="auto"/>
              </w:rPr>
            </w:pPr>
          </w:p>
        </w:tc>
      </w:tr>
      <w:tr>
        <w:trPr>
          <w:trHeight w:val="266"/>
        </w:trPr>
        <w:tc>
          <w:tcPr>
            <w:tcW w:w="4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Non-qualified deferred compensation plan</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(13,996)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w w:val="99"/>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20"/>
                <w:szCs w:val="20"/>
                <w:color w:val="231F20"/>
                <w:w w:val="99"/>
              </w:rPr>
              <w:t>—</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-792480</wp:posOffset>
            </wp:positionV>
            <wp:extent cx="20453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6">
                      <a:extLst>
                        <a:ext uri="{28A0092B-C50C-407E-A947-70E740481C1C}"/>
                      </a:extLst>
                    </a:blip>
                    <a:srcRect/>
                    <a:stretch>
                      <a:fillRect/>
                    </a:stretch>
                  </pic:blipFill>
                  <pic:spPr bwMode="auto">
                    <a:xfrm>
                      <a:off x="0" y="0"/>
                      <a:ext cx="2045335" cy="38100"/>
                    </a:xfrm>
                    <a:prstGeom prst="rect">
                      <a:avLst/>
                    </a:prstGeom>
                    <a:noFill/>
                  </pic:spPr>
                </pic:pic>
              </a:graphicData>
            </a:graphic>
          </wp:anchor>
        </w:drawing>
      </w:r>
    </w:p>
    <w:p>
      <w:pPr>
        <w:spacing w:after="0" w:line="25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31F20"/>
        </w:rPr>
        <w:t>The fair value of money market mutual funds is based on quoted market prices, such as quoted net asset values published by the fund as supported in an active market. Money market mutual funds included in the Company’s cash and cash equivalents were $204.0 million and $111.5 million as of January 31, 2026 and February 1, 2025, respectively. Also included in the Company’s money market mutual funds balances were $12.7 million and $15.6 million as of January 31, 2026 and February 1, 2025, respectively, which relate to the Company’s restricted cash, and are included in other current assets in the consolidated balance sheets.</w:t>
      </w:r>
    </w:p>
    <w:p>
      <w:pPr>
        <w:spacing w:after="0" w:line="200" w:lineRule="exact"/>
        <w:rPr>
          <w:sz w:val="20"/>
          <w:szCs w:val="20"/>
          <w:color w:val="auto"/>
        </w:rPr>
      </w:pPr>
    </w:p>
    <w:p>
      <w:pPr>
        <w:jc w:val="both"/>
        <w:ind w:right="40" w:firstLine="490"/>
        <w:spacing w:after="0" w:line="258" w:lineRule="auto"/>
        <w:rPr>
          <w:sz w:val="20"/>
          <w:szCs w:val="20"/>
          <w:color w:val="auto"/>
        </w:rPr>
      </w:pPr>
      <w:r>
        <w:rPr>
          <w:rFonts w:ascii="Times New Roman" w:cs="Times New Roman" w:eastAsia="Times New Roman" w:hAnsi="Times New Roman"/>
          <w:sz w:val="20"/>
          <w:szCs w:val="20"/>
          <w:color w:val="231F20"/>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8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231F20"/>
        </w:rPr>
        <w:t>The Company previously held shares of Rover Group, Inc. (“Rover”) Class A common stock. The Company remeasured the fair value of its investment on a quarterly basis, and the resulting gains or losses were included in other non-operating income in the consolidated statements of operations. In April 2023, the Company sold its interest in Rover Class A common stock to a buyer at a price determined based on the daily volume weighted average price, in addition to a premium, over an agreed upon period. The Company's interest in the unsettled cash proceeds were remeasured at fair value at each reporting period, and the resulting gains or losses were included in other non-operating income in the consolidated statements of operations.</w:t>
      </w:r>
    </w:p>
    <w:p>
      <w:pPr>
        <w:spacing w:after="0" w:line="20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31F20"/>
        </w:rPr>
        <w:t>In February 2022, the Company amended a collaboration agreement with a vendor, and as part of the amendment the Company was granted a right to receive equity and warrants for common shares of the vendor that is subject to certain performance conditions and other contingencies. The warrants were exercised in July 2024, following the satisfaction of the related performance conditions and contingencies. Cash consideration for the exercise of the warrants was de minimis. The Company's interest is accounted for as an investment in an equity security without a readily determinable fair value. When an upward or downward adjustment occurs, the resulting gains or losses are included in other non-operating income in the consolidated statements of operations.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Assets Measured on a Non-Recurring Basis</w:t>
      </w:r>
    </w:p>
    <w:p>
      <w:pPr>
        <w:spacing w:after="0" w:line="12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31F20"/>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8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31F20"/>
        </w:rPr>
        <w:t>The Company’s trade name has an indefinite life. The Company performs its annual impairment test during the fourth quarter of each fiscal year, or more frequently when warranted by events or changes in circumstances. During the third quarter of fiscal 2023 and the first quarter of fiscal 2024, the Company performed interim impairment tests of its goodwill and indefinite-lived trade name due to declines in the Company's share price. Refer to Note 6 for further discussion of the results of interim impairment testing performed on the Company’s goodwill.</w:t>
      </w:r>
    </w:p>
    <w:p>
      <w:pPr>
        <w:spacing w:after="0" w:line="77" w:lineRule="exact"/>
        <w:rPr>
          <w:sz w:val="20"/>
          <w:szCs w:val="20"/>
          <w:color w:val="auto"/>
        </w:rPr>
      </w:pPr>
    </w:p>
    <w:p>
      <w:pPr>
        <w:ind w:right="120" w:firstLine="490"/>
        <w:spacing w:after="0" w:line="270" w:lineRule="auto"/>
        <w:rPr>
          <w:sz w:val="20"/>
          <w:szCs w:val="20"/>
          <w:color w:val="auto"/>
        </w:rPr>
      </w:pPr>
      <w:r>
        <w:rPr>
          <w:rFonts w:ascii="Times New Roman" w:cs="Times New Roman" w:eastAsia="Times New Roman" w:hAnsi="Times New Roman"/>
          <w:sz w:val="19"/>
          <w:szCs w:val="19"/>
          <w:color w:val="231F20"/>
        </w:rPr>
        <w:t>During the third quarter of fiscal 2023, the Company concluded that the fair value of its trade name exceeded its carrying value, and therefore no trade name impairment charge was recorded. The fair value of the Company’s trade name was estimated by management with the assistance of a third-party valuation specialist using the relief from royalty valuation method, which estimates the hypothetical royalties that would have to be paid if the trade</w:t>
      </w:r>
    </w:p>
    <w:p>
      <w:pPr>
        <w:sectPr>
          <w:pgSz w:w="11880" w:h="15480" w:orient="portrait"/>
          <w:cols w:equalWidth="0" w:num="1">
            <w:col w:w="9340"/>
          </w:cols>
          <w:pgMar w:left="1260" w:top="14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88</w:t>
      </w:r>
    </w:p>
    <w:p>
      <w:pPr>
        <w:sectPr>
          <w:pgSz w:w="11880" w:h="15480" w:orient="portrait"/>
          <w:cols w:equalWidth="0" w:num="1">
            <w:col w:w="9340"/>
          </w:cols>
          <w:pgMar w:left="1260" w:top="1440" w:right="1280" w:bottom="0" w:gutter="0" w:footer="0" w:header="0"/>
          <w:type w:val="continuous"/>
        </w:sectPr>
      </w:pPr>
    </w:p>
    <w:bookmarkStart w:id="98" w:name="page99"/>
    <w:bookmarkEnd w:id="98"/>
    <w:p>
      <w:pPr>
        <w:ind w:right="380"/>
        <w:spacing w:after="0" w:line="277" w:lineRule="auto"/>
        <w:rPr>
          <w:sz w:val="20"/>
          <w:szCs w:val="20"/>
          <w:color w:val="auto"/>
        </w:rPr>
      </w:pPr>
      <w:r>
        <w:rPr>
          <w:rFonts w:ascii="Times New Roman" w:cs="Times New Roman" w:eastAsia="Times New Roman" w:hAnsi="Times New Roman"/>
          <w:sz w:val="20"/>
          <w:szCs w:val="20"/>
          <w:color w:val="231F20"/>
        </w:rPr>
        <w:t>name was not owned. The fair value of the Company's trade name reflected the Company's most recent revenue projections at the time of the analysis, a discount rate of 17.4% and a terminal growth rate of 3%.</w:t>
      </w:r>
    </w:p>
    <w:p>
      <w:pPr>
        <w:spacing w:after="0" w:line="49"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31F20"/>
        </w:rPr>
        <w:t>During the first quarter of fiscal 2024, the Company concluded that the fair value of its trade name exceeded its carrying value, and therefore no trade name impairment charge was recorded. The fair value of the Company’s trade name was estimated by management using the relief from royalty valuation method. The fair value of the Company's trade name reflected the Company's most recent revenue projections at the time of the analysis, a discount rate of 14.2% and a terminal growth rate of 3%.</w:t>
      </w:r>
    </w:p>
    <w:p>
      <w:pPr>
        <w:spacing w:after="0" w:line="77" w:lineRule="exact"/>
        <w:rPr>
          <w:sz w:val="20"/>
          <w:szCs w:val="20"/>
          <w:color w:val="auto"/>
        </w:rPr>
      </w:pPr>
    </w:p>
    <w:p>
      <w:pPr>
        <w:jc w:val="both"/>
        <w:ind w:right="320" w:firstLine="490"/>
        <w:spacing w:after="0" w:line="252" w:lineRule="auto"/>
        <w:rPr>
          <w:sz w:val="20"/>
          <w:szCs w:val="20"/>
          <w:color w:val="auto"/>
        </w:rPr>
      </w:pPr>
      <w:r>
        <w:rPr>
          <w:rFonts w:ascii="Times New Roman" w:cs="Times New Roman" w:eastAsia="Times New Roman" w:hAnsi="Times New Roman"/>
          <w:sz w:val="20"/>
          <w:szCs w:val="20"/>
          <w:color w:val="231F20"/>
        </w:rPr>
        <w:t>In fiscal years 2025, 2024, and 2023, the Company concluded that it was more likely than not that the fair value of its trade name was greater than its carrying amount, and therefore no tradename impairment charge was recorded. There were no indications of impairment of the Company’s other intangible assets or equity and other investments in fiscal years 2025, 2024, and 2023.</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Company recorded fixed asset and right-of-use asset impairment charges of $1.9 million, $8.4 million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$2.7 million in fiscal years 2025, 2024, and 2023, respectively. Impairment charges are primarily related to pet care</w:t>
      </w:r>
    </w:p>
    <w:p>
      <w:pPr>
        <w:spacing w:after="0"/>
        <w:rPr>
          <w:sz w:val="20"/>
          <w:szCs w:val="20"/>
          <w:color w:val="auto"/>
        </w:rPr>
      </w:pPr>
      <w:r>
        <w:rPr>
          <w:rFonts w:ascii="Times New Roman" w:cs="Times New Roman" w:eastAsia="Times New Roman" w:hAnsi="Times New Roman"/>
          <w:sz w:val="20"/>
          <w:szCs w:val="20"/>
          <w:color w:val="231F20"/>
        </w:rPr>
        <w:t>center locations and are recorded in selling, general and administrative expense in the accompanying consolidated</w:t>
      </w:r>
    </w:p>
    <w:p>
      <w:pPr>
        <w:spacing w:after="0"/>
        <w:rPr>
          <w:sz w:val="20"/>
          <w:szCs w:val="20"/>
          <w:color w:val="auto"/>
        </w:rPr>
      </w:pPr>
      <w:r>
        <w:rPr>
          <w:rFonts w:ascii="Times New Roman" w:cs="Times New Roman" w:eastAsia="Times New Roman" w:hAnsi="Times New Roman"/>
          <w:sz w:val="20"/>
          <w:szCs w:val="20"/>
          <w:color w:val="231F20"/>
        </w:rPr>
        <w:t>statements of operations.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10. Employee Benefit Plans</w:t>
      </w:r>
    </w:p>
    <w:p>
      <w:pPr>
        <w:spacing w:after="0" w:line="124"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231F20"/>
        </w:rPr>
        <w:t>The Company has employee savings plans that permits eligible participants to make contributions by salary reduction pursuant to either section 401(k) of the Internal Revenue Code or under the Company’s non-qualified deferred compensation plan.</w:t>
      </w:r>
    </w:p>
    <w:p>
      <w:pPr>
        <w:spacing w:after="0" w:line="188"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The Company's matching contributions to these plans were $13.6 million, $11.9 million, and $12.1 million for fiscal years 2025, 2024, and 2023, respectively.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11. Stockholders’ Equity</w:t>
      </w:r>
    </w:p>
    <w:p>
      <w:pPr>
        <w:spacing w:after="0" w:line="142" w:lineRule="exact"/>
        <w:rPr>
          <w:sz w:val="20"/>
          <w:szCs w:val="20"/>
          <w:color w:val="auto"/>
        </w:rPr>
      </w:pPr>
    </w:p>
    <w:p>
      <w:pPr>
        <w:ind w:right="380" w:firstLine="500"/>
        <w:spacing w:after="0" w:line="247" w:lineRule="auto"/>
        <w:rPr>
          <w:sz w:val="20"/>
          <w:szCs w:val="20"/>
          <w:color w:val="auto"/>
        </w:rPr>
      </w:pPr>
      <w:r>
        <w:rPr>
          <w:rFonts w:ascii="Times New Roman" w:cs="Times New Roman" w:eastAsia="Times New Roman" w:hAnsi="Times New Roman"/>
          <w:sz w:val="20"/>
          <w:szCs w:val="20"/>
          <w:color w:val="231F20"/>
        </w:rPr>
        <w:t>Equity-based compensation awards under the Company’s current equity incentive plan (as amended, the “2021 Equity Incentive Plan”) include restricted stock units (“RSUs,” which include performance-based stock units), restricted stock awards (“RSAs”), non-qualified stock options, and other equity compensation awards. In addition, the Company has made equity-based compensation awards of RSUs and non-qualified stock options outside of the 2021 Equity Incentive Plan as employment inducement awards (collectively, the “Inducement Awards”). The Company also has an employee stock purchase plan (“ESPP”).</w:t>
      </w:r>
    </w:p>
    <w:p>
      <w:pPr>
        <w:spacing w:after="0" w:line="20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The Company issues new shares of Class A common stock upon exercise of stock options and the vesting of restricted stock units. As of January 31, 2026, there were 34.5 million shares of Class A common stock available for issuance pursuant to future equity-based compensation awards under the 2021 Equity Incentive Plan and 23.2 million shares of Class A common stock available for issuance pursuant to future equity-based employment inducement awards.</w:t>
      </w:r>
    </w:p>
    <w:p>
      <w:pPr>
        <w:spacing w:after="0" w:line="197" w:lineRule="exact"/>
        <w:rPr>
          <w:sz w:val="20"/>
          <w:szCs w:val="20"/>
          <w:color w:val="auto"/>
        </w:rPr>
      </w:pPr>
    </w:p>
    <w:p>
      <w:pPr>
        <w:ind w:right="60" w:firstLine="590"/>
        <w:spacing w:after="0" w:line="249" w:lineRule="auto"/>
        <w:rPr>
          <w:sz w:val="20"/>
          <w:szCs w:val="20"/>
          <w:color w:val="auto"/>
        </w:rPr>
      </w:pPr>
      <w:r>
        <w:rPr>
          <w:rFonts w:ascii="Times New Roman" w:cs="Times New Roman" w:eastAsia="Times New Roman" w:hAnsi="Times New Roman"/>
          <w:sz w:val="20"/>
          <w:szCs w:val="20"/>
          <w:color w:val="231F20"/>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 No additional Series C Units have been or will be awarded following the Company’s initial public offering. As of January 31, 2026, substantially all Series C Units are fully vested.</w:t>
      </w:r>
    </w:p>
    <w:p>
      <w:pPr>
        <w:sectPr>
          <w:pgSz w:w="11880" w:h="15480" w:orient="portrait"/>
          <w:cols w:equalWidth="0" w:num="1">
            <w:col w:w="9320"/>
          </w:cols>
          <w:pgMar w:left="126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89</w:t>
      </w:r>
    </w:p>
    <w:p>
      <w:pPr>
        <w:sectPr>
          <w:pgSz w:w="11880" w:h="15480" w:orient="portrait"/>
          <w:cols w:equalWidth="0" w:num="1">
            <w:col w:w="9320"/>
          </w:cols>
          <w:pgMar w:left="1260" w:top="1240" w:right="1300" w:bottom="0" w:gutter="0" w:footer="0" w:header="0"/>
          <w:type w:val="continuous"/>
        </w:sectPr>
      </w:pPr>
    </w:p>
    <w:bookmarkStart w:id="99" w:name="page100"/>
    <w:bookmarkEnd w:id="99"/>
    <w:p>
      <w:pPr>
        <w:ind w:right="640" w:firstLine="490"/>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the Company’s equity-based compensation expense by award type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w w:val="98"/>
              </w:rPr>
              <w:t>Fiscal years ended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231F20"/>
              </w:rPr>
              <w:t>January 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231F20"/>
              </w:rPr>
              <w:t>February 3,</w:t>
            </w: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22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22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020" w:type="dxa"/>
            <w:vAlign w:val="bottom"/>
            <w:tcBorders>
              <w:bottom w:val="single" w:sz="8" w:color="231F20"/>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231F20"/>
                <w:w w:val="97"/>
              </w:rPr>
              <w:t>(52 weeks)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231F20"/>
              </w:rPr>
              <w:t>(53 weeks)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RSUs and RSAs</w:t>
            </w:r>
          </w:p>
        </w:tc>
        <w:tc>
          <w:tcPr>
            <w:tcW w:w="1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25,548</w:t>
            </w:r>
          </w:p>
        </w:tc>
        <w:tc>
          <w:tcPr>
            <w:tcW w:w="34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34,726</w:t>
            </w:r>
          </w:p>
        </w:tc>
        <w:tc>
          <w:tcPr>
            <w:tcW w:w="220" w:type="dxa"/>
            <w:vAlign w:val="bottom"/>
            <w:shd w:val="clear" w:color="auto" w:fill="EAEBEC"/>
          </w:tcPr>
          <w:p>
            <w:pPr>
              <w:spacing w:after="0"/>
              <w:rPr>
                <w:sz w:val="21"/>
                <w:szCs w:val="21"/>
                <w:color w:val="auto"/>
              </w:rPr>
            </w:pPr>
          </w:p>
        </w:tc>
        <w:tc>
          <w:tcPr>
            <w:tcW w:w="1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57,619</w:t>
            </w:r>
          </w:p>
        </w:tc>
        <w:tc>
          <w:tcPr>
            <w:tcW w:w="6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0"/>
                <w:szCs w:val="20"/>
                <w:color w:val="auto"/>
              </w:rPr>
            </w:pPr>
            <w:r>
              <w:rPr>
                <w:rFonts w:ascii="Times New Roman" w:cs="Times New Roman" w:eastAsia="Times New Roman" w:hAnsi="Times New Roman"/>
                <w:sz w:val="20"/>
                <w:szCs w:val="20"/>
                <w:color w:val="231F20"/>
              </w:rPr>
              <w:t>Options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5,565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12,231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16,586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0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ESPP</w:t>
            </w:r>
          </w:p>
        </w:tc>
        <w:tc>
          <w:tcPr>
            <w:tcW w:w="140" w:type="dxa"/>
            <w:vAlign w:val="bottom"/>
            <w:shd w:val="clear" w:color="auto" w:fill="EAEBEC"/>
          </w:tcPr>
          <w:p>
            <w:pPr>
              <w:spacing w:after="0"/>
              <w:rPr>
                <w:sz w:val="21"/>
                <w:szCs w:val="21"/>
                <w:color w:val="auto"/>
              </w:rPr>
            </w:pP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1,529</w:t>
            </w:r>
          </w:p>
        </w:tc>
        <w:tc>
          <w:tcPr>
            <w:tcW w:w="22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1,838</w:t>
            </w:r>
          </w:p>
        </w:tc>
        <w:tc>
          <w:tcPr>
            <w:tcW w:w="22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10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1,474</w:t>
            </w:r>
          </w:p>
        </w:tc>
        <w:tc>
          <w:tcPr>
            <w:tcW w:w="6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EAEBEC"/>
            </w:tcBorders>
          </w:tcPr>
          <w:p>
            <w:pPr>
              <w:spacing w:after="0"/>
              <w:rPr>
                <w:sz w:val="20"/>
                <w:szCs w:val="20"/>
                <w:color w:val="auto"/>
              </w:rPr>
            </w:pPr>
            <w:r>
              <w:rPr>
                <w:rFonts w:ascii="Times New Roman" w:cs="Times New Roman" w:eastAsia="Times New Roman" w:hAnsi="Times New Roman"/>
                <w:sz w:val="20"/>
                <w:szCs w:val="20"/>
                <w:color w:val="231F20"/>
              </w:rPr>
              <w:t>Other awards</w:t>
            </w:r>
          </w:p>
        </w:tc>
        <w:tc>
          <w:tcPr>
            <w:tcW w:w="14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w:t>
            </w:r>
          </w:p>
        </w:tc>
        <w:tc>
          <w:tcPr>
            <w:tcW w:w="220" w:type="dxa"/>
            <w:vAlign w:val="bottom"/>
            <w:tcBorders>
              <w:bottom w:val="single" w:sz="8" w:color="EAEBEC"/>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1,417</w:t>
            </w:r>
          </w:p>
        </w:tc>
        <w:tc>
          <w:tcPr>
            <w:tcW w:w="220" w:type="dxa"/>
            <w:vAlign w:val="bottom"/>
            <w:tcBorders>
              <w:bottom w:val="single" w:sz="8" w:color="EAEBEC"/>
            </w:tcBorders>
          </w:tcPr>
          <w:p>
            <w:pPr>
              <w:spacing w:after="0"/>
              <w:rPr>
                <w:sz w:val="21"/>
                <w:szCs w:val="21"/>
                <w:color w:val="auto"/>
              </w:rPr>
            </w:pPr>
          </w:p>
        </w:tc>
        <w:tc>
          <w:tcPr>
            <w:tcW w:w="14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6,180</w:t>
            </w:r>
          </w:p>
        </w:tc>
        <w:tc>
          <w:tcPr>
            <w:tcW w:w="60" w:type="dxa"/>
            <w:vAlign w:val="bottom"/>
            <w:tcBorders>
              <w:bottom w:val="single" w:sz="8" w:color="EAEBEC"/>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Total equity-based compensation expense</w:t>
            </w:r>
          </w:p>
        </w:tc>
        <w:tc>
          <w:tcPr>
            <w:tcW w:w="1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32,650</w:t>
            </w:r>
          </w:p>
        </w:tc>
        <w:tc>
          <w:tcPr>
            <w:tcW w:w="220" w:type="dxa"/>
            <w:vAlign w:val="bottom"/>
            <w:shd w:val="clear" w:color="auto" w:fill="EAEBEC"/>
          </w:tcPr>
          <w:p>
            <w:pPr>
              <w:spacing w:after="0"/>
              <w:rPr>
                <w:sz w:val="20"/>
                <w:szCs w:val="20"/>
                <w:color w:val="auto"/>
              </w:rPr>
            </w:pPr>
          </w:p>
        </w:tc>
        <w:tc>
          <w:tcPr>
            <w:tcW w:w="1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50,212</w:t>
            </w:r>
          </w:p>
        </w:tc>
        <w:tc>
          <w:tcPr>
            <w:tcW w:w="220" w:type="dxa"/>
            <w:vAlign w:val="bottom"/>
            <w:shd w:val="clear" w:color="auto" w:fill="EAEBEC"/>
          </w:tcPr>
          <w:p>
            <w:pPr>
              <w:spacing w:after="0"/>
              <w:rPr>
                <w:sz w:val="20"/>
                <w:szCs w:val="20"/>
                <w:color w:val="auto"/>
              </w:rPr>
            </w:pPr>
          </w:p>
        </w:tc>
        <w:tc>
          <w:tcPr>
            <w:tcW w:w="1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81,859</w:t>
            </w:r>
          </w:p>
        </w:tc>
        <w:tc>
          <w:tcPr>
            <w:tcW w:w="60" w:type="dxa"/>
            <w:vAlign w:val="bottom"/>
            <w:shd w:val="clear" w:color="auto" w:fill="EAEBE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231F20"/>
              </w:rPr>
              <w:t>Total related tax benefit</w:t>
            </w: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00" w:type="dxa"/>
            <w:vAlign w:val="bottom"/>
            <w:vMerge w:val="continue"/>
          </w:tcPr>
          <w:p>
            <w:pPr>
              <w:spacing w:after="0"/>
              <w:rPr>
                <w:sz w:val="21"/>
                <w:szCs w:val="21"/>
                <w:color w:val="auto"/>
              </w:rPr>
            </w:pPr>
          </w:p>
        </w:tc>
        <w:tc>
          <w:tcPr>
            <w:tcW w:w="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5,695</w:t>
            </w:r>
          </w:p>
        </w:tc>
        <w:tc>
          <w:tcPr>
            <w:tcW w:w="220" w:type="dxa"/>
            <w:vAlign w:val="bottom"/>
          </w:tcPr>
          <w:p>
            <w:pPr>
              <w:spacing w:after="0"/>
              <w:rPr>
                <w:sz w:val="21"/>
                <w:szCs w:val="21"/>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7,341</w:t>
            </w:r>
          </w:p>
        </w:tc>
        <w:tc>
          <w:tcPr>
            <w:tcW w:w="220" w:type="dxa"/>
            <w:vAlign w:val="bottom"/>
          </w:tcPr>
          <w:p>
            <w:pPr>
              <w:spacing w:after="0"/>
              <w:rPr>
                <w:sz w:val="21"/>
                <w:szCs w:val="21"/>
                <w:color w:val="auto"/>
              </w:rPr>
            </w:pPr>
          </w:p>
        </w:tc>
        <w:tc>
          <w:tcPr>
            <w:tcW w:w="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11,473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-1383030</wp:posOffset>
            </wp:positionV>
            <wp:extent cx="251206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7">
                      <a:extLst>
                        <a:ext uri="{28A0092B-C50C-407E-A947-70E740481C1C}"/>
                      </a:extLst>
                    </a:blip>
                    <a:srcRect/>
                    <a:stretch>
                      <a:fillRect/>
                    </a:stretch>
                  </pic:blipFill>
                  <pic:spPr bwMode="auto">
                    <a:xfrm>
                      <a:off x="0" y="0"/>
                      <a:ext cx="2512060" cy="381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RSUs and RSAs</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31F20"/>
        </w:rPr>
        <w:t>The Company has time-vested RSUs, performance-based RSUs, and market-based RSUs. Time-vested RSUs are awarded to eligible employees and non-employee directors and entitle the grantee to receive shares of Class A common stock at the end of a vesting period, subject solely to the individual’s continued employment or service as a director. In most cases, 34% of the units becomes vested on the anniversary of the grant date, followed by 16.5% of the units in four equal semi-annual installments thereafter. Performance-based RSUs are awarded to eligible employees and entitle the grantee to receive shares of Class A common stock if the Company achieves specified performance goals during the performance period and the grantee remains employed through the vesting period. Market-based RSUs are awarded to eligible employees and entitle the grantee to receive shares of Class A common stock if the total shareholder return goals are achieved and the grantee remains employed through the vesting period.</w:t>
      </w:r>
    </w:p>
    <w:p>
      <w:pPr>
        <w:spacing w:after="0" w:line="206" w:lineRule="exact"/>
        <w:rPr>
          <w:sz w:val="20"/>
          <w:szCs w:val="20"/>
          <w:color w:val="auto"/>
        </w:rPr>
      </w:pPr>
    </w:p>
    <w:p>
      <w:pPr>
        <w:ind w:right="700" w:firstLine="490"/>
        <w:spacing w:after="0" w:line="277" w:lineRule="auto"/>
        <w:rPr>
          <w:sz w:val="20"/>
          <w:szCs w:val="20"/>
          <w:color w:val="auto"/>
        </w:rPr>
      </w:pPr>
      <w:r>
        <w:rPr>
          <w:rFonts w:ascii="Times New Roman" w:cs="Times New Roman" w:eastAsia="Times New Roman" w:hAnsi="Times New Roman"/>
          <w:sz w:val="20"/>
          <w:szCs w:val="20"/>
          <w:color w:val="231F20"/>
        </w:rPr>
        <w:t>RSU activity under the 2021 Equity Incentive Plan was as follows (in thousands, except per share and contractual life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4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231F20"/>
                <w:w w:val="97"/>
              </w:rPr>
              <w:t>average</w:t>
            </w: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average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4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w w:val="99"/>
              </w:rPr>
              <w:t>grant date</w:t>
            </w: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remaining</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231F20"/>
                <w:w w:val="99"/>
              </w:rPr>
              <w:t>Aggregate</w:t>
            </w:r>
          </w:p>
        </w:tc>
        <w:tc>
          <w:tcPr>
            <w:tcW w:w="60" w:type="dxa"/>
            <w:vAlign w:val="bottom"/>
          </w:tcPr>
          <w:p>
            <w:pPr>
              <w:spacing w:after="0"/>
              <w:rPr>
                <w:sz w:val="16"/>
                <w:szCs w:val="16"/>
                <w:color w:val="auto"/>
              </w:rPr>
            </w:pPr>
          </w:p>
        </w:tc>
      </w:tr>
      <w:tr>
        <w:trPr>
          <w:trHeight w:val="184"/>
        </w:trPr>
        <w:tc>
          <w:tcPr>
            <w:tcW w:w="4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rPr>
              <w:t>fair value</w:t>
            </w: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contractual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231F20"/>
              </w:rPr>
              <w:t>intrinsic</w:t>
            </w:r>
          </w:p>
        </w:tc>
        <w:tc>
          <w:tcPr>
            <w:tcW w:w="60" w:type="dxa"/>
            <w:vAlign w:val="bottom"/>
          </w:tcPr>
          <w:p>
            <w:pPr>
              <w:spacing w:after="0"/>
              <w:rPr>
                <w:sz w:val="16"/>
                <w:szCs w:val="16"/>
                <w:color w:val="auto"/>
              </w:rPr>
            </w:pPr>
          </w:p>
        </w:tc>
      </w:tr>
      <w:tr>
        <w:trPr>
          <w:trHeight w:val="203"/>
        </w:trPr>
        <w:tc>
          <w:tcPr>
            <w:tcW w:w="4680" w:type="dxa"/>
            <w:vAlign w:val="bottom"/>
          </w:tcPr>
          <w:p>
            <w:pPr>
              <w:spacing w:after="0"/>
              <w:rPr>
                <w:sz w:val="17"/>
                <w:szCs w:val="17"/>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231F20"/>
              </w:rPr>
              <w:t>Shares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231F20"/>
                <w:w w:val="99"/>
              </w:rPr>
              <w:t>per share</w:t>
            </w:r>
          </w:p>
        </w:tc>
        <w:tc>
          <w:tcPr>
            <w:tcW w:w="2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life (years)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231F20"/>
              </w:rPr>
              <w:t>value</w:t>
            </w:r>
          </w:p>
        </w:tc>
        <w:tc>
          <w:tcPr>
            <w:tcW w:w="60" w:type="dxa"/>
            <w:vAlign w:val="bottom"/>
          </w:tcPr>
          <w:p>
            <w:pPr>
              <w:spacing w:after="0"/>
              <w:rPr>
                <w:sz w:val="17"/>
                <w:szCs w:val="17"/>
                <w:color w:val="auto"/>
              </w:rPr>
            </w:pPr>
          </w:p>
        </w:tc>
      </w:tr>
      <w:tr>
        <w:trPr>
          <w:trHeight w:val="239"/>
        </w:trPr>
        <w:tc>
          <w:tcPr>
            <w:tcW w:w="4680" w:type="dxa"/>
            <w:vAlign w:val="bottom"/>
            <w:tcBorders>
              <w:top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Nonvested, February 1, 2025</w:t>
            </w:r>
          </w:p>
        </w:tc>
        <w:tc>
          <w:tcPr>
            <w:tcW w:w="100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12,180</w:t>
            </w:r>
          </w:p>
        </w:tc>
        <w:tc>
          <w:tcPr>
            <w:tcW w:w="140" w:type="dxa"/>
            <w:vAlign w:val="bottom"/>
            <w:tcBorders>
              <w:top w:val="single" w:sz="8" w:color="EAEBEC"/>
            </w:tcBorders>
            <w:shd w:val="clear" w:color="auto" w:fill="EAEBEC"/>
          </w:tcPr>
          <w:p>
            <w:pPr>
              <w:spacing w:after="0"/>
              <w:rPr>
                <w:sz w:val="20"/>
                <w:szCs w:val="20"/>
                <w:color w:val="auto"/>
              </w:rPr>
            </w:pPr>
          </w:p>
        </w:tc>
        <w:tc>
          <w:tcPr>
            <w:tcW w:w="60" w:type="dxa"/>
            <w:vAlign w:val="bottom"/>
            <w:tcBorders>
              <w:top w:val="single" w:sz="8" w:color="EAEBEC"/>
            </w:tcBorders>
            <w:shd w:val="clear" w:color="auto" w:fill="EAEBEC"/>
          </w:tcPr>
          <w:p>
            <w:pPr>
              <w:spacing w:after="0"/>
              <w:rPr>
                <w:sz w:val="20"/>
                <w:szCs w:val="20"/>
                <w:color w:val="auto"/>
              </w:rPr>
            </w:pPr>
          </w:p>
        </w:tc>
        <w:tc>
          <w:tcPr>
            <w:tcW w:w="1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3.94</w:t>
            </w:r>
          </w:p>
        </w:tc>
        <w:tc>
          <w:tcPr>
            <w:tcW w:w="200" w:type="dxa"/>
            <w:vAlign w:val="bottom"/>
            <w:tcBorders>
              <w:top w:val="single" w:sz="8" w:color="EAEBEC"/>
            </w:tcBorders>
            <w:shd w:val="clear" w:color="auto" w:fill="EAEBEC"/>
          </w:tcPr>
          <w:p>
            <w:pPr>
              <w:spacing w:after="0"/>
              <w:rPr>
                <w:sz w:val="20"/>
                <w:szCs w:val="20"/>
                <w:color w:val="auto"/>
              </w:rPr>
            </w:pPr>
          </w:p>
        </w:tc>
        <w:tc>
          <w:tcPr>
            <w:tcW w:w="10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200" w:type="dxa"/>
            <w:vAlign w:val="bottom"/>
            <w:tcBorders>
              <w:top w:val="single" w:sz="8" w:color="EAEBEC"/>
            </w:tcBorders>
            <w:shd w:val="clear" w:color="auto" w:fill="EAEBEC"/>
          </w:tcPr>
          <w:p>
            <w:pPr>
              <w:spacing w:after="0"/>
              <w:rPr>
                <w:sz w:val="20"/>
                <w:szCs w:val="20"/>
                <w:color w:val="auto"/>
              </w:rPr>
            </w:pPr>
          </w:p>
        </w:tc>
        <w:tc>
          <w:tcPr>
            <w:tcW w:w="1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88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41,656</w:t>
            </w:r>
          </w:p>
        </w:tc>
        <w:tc>
          <w:tcPr>
            <w:tcW w:w="60" w:type="dxa"/>
            <w:vAlign w:val="bottom"/>
            <w:tcBorders>
              <w:top w:val="single" w:sz="8" w:color="EAEBEC"/>
            </w:tcBorders>
            <w:shd w:val="clear" w:color="auto" w:fill="EAEBEC"/>
          </w:tcPr>
          <w:p>
            <w:pPr>
              <w:spacing w:after="0"/>
              <w:rPr>
                <w:sz w:val="20"/>
                <w:szCs w:val="20"/>
                <w:color w:val="auto"/>
              </w:rPr>
            </w:pPr>
          </w:p>
        </w:tc>
      </w:tr>
      <w:tr>
        <w:trPr>
          <w:trHeight w:val="244"/>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15,713</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2.45</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6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Vested and delivered</w:t>
            </w:r>
          </w:p>
        </w:tc>
        <w:tc>
          <w:tcPr>
            <w:tcW w:w="114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rPr>
              <w:t>(4,645)</w:t>
            </w:r>
          </w:p>
        </w:tc>
        <w:tc>
          <w:tcPr>
            <w:tcW w:w="6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8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4.67</w:t>
            </w:r>
          </w:p>
        </w:tc>
        <w:tc>
          <w:tcPr>
            <w:tcW w:w="200" w:type="dxa"/>
            <w:vAlign w:val="bottom"/>
            <w:shd w:val="clear" w:color="auto" w:fill="EAEBEC"/>
          </w:tcPr>
          <w:p>
            <w:pPr>
              <w:spacing w:after="0"/>
              <w:rPr>
                <w:sz w:val="21"/>
                <w:szCs w:val="21"/>
                <w:color w:val="auto"/>
              </w:rPr>
            </w:pPr>
          </w:p>
        </w:tc>
        <w:tc>
          <w:tcPr>
            <w:tcW w:w="1020" w:type="dxa"/>
            <w:vAlign w:val="bottom"/>
            <w:shd w:val="clear" w:color="auto" w:fill="EAEBEC"/>
          </w:tcPr>
          <w:p>
            <w:pPr>
              <w:spacing w:after="0"/>
              <w:rPr>
                <w:sz w:val="21"/>
                <w:szCs w:val="21"/>
                <w:color w:val="auto"/>
              </w:rPr>
            </w:pPr>
          </w:p>
        </w:tc>
        <w:tc>
          <w:tcPr>
            <w:tcW w:w="20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880" w:type="dxa"/>
            <w:vAlign w:val="bottom"/>
            <w:shd w:val="clear" w:color="auto" w:fill="EAEBEC"/>
          </w:tcPr>
          <w:p>
            <w:pPr>
              <w:spacing w:after="0"/>
              <w:rPr>
                <w:sz w:val="21"/>
                <w:szCs w:val="21"/>
                <w:color w:val="auto"/>
              </w:rPr>
            </w:pPr>
          </w:p>
        </w:tc>
        <w:tc>
          <w:tcPr>
            <w:tcW w:w="60" w:type="dxa"/>
            <w:vAlign w:val="bottom"/>
            <w:shd w:val="clear" w:color="auto" w:fill="EAEBEC"/>
          </w:tcPr>
          <w:p>
            <w:pPr>
              <w:spacing w:after="0"/>
              <w:rPr>
                <w:sz w:val="21"/>
                <w:szCs w:val="21"/>
                <w:color w:val="auto"/>
              </w:rPr>
            </w:pPr>
          </w:p>
        </w:tc>
      </w:tr>
      <w:tr>
        <w:trPr>
          <w:trHeight w:val="244"/>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Forfeited/expired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(3,403)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2.81</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680" w:type="dxa"/>
            <w:vAlign w:val="bottom"/>
            <w:tcBorders>
              <w:top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Nonvested, January 31, 2026</w:t>
            </w:r>
          </w:p>
        </w:tc>
        <w:tc>
          <w:tcPr>
            <w:tcW w:w="100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19,845</w:t>
            </w:r>
          </w:p>
        </w:tc>
        <w:tc>
          <w:tcPr>
            <w:tcW w:w="140" w:type="dxa"/>
            <w:vAlign w:val="bottom"/>
            <w:tcBorders>
              <w:top w:val="single" w:sz="8" w:color="EAEBEC"/>
            </w:tcBorders>
            <w:shd w:val="clear" w:color="auto" w:fill="EAEBEC"/>
          </w:tcPr>
          <w:p>
            <w:pPr>
              <w:spacing w:after="0"/>
              <w:rPr>
                <w:sz w:val="20"/>
                <w:szCs w:val="20"/>
                <w:color w:val="auto"/>
              </w:rPr>
            </w:pPr>
          </w:p>
        </w:tc>
        <w:tc>
          <w:tcPr>
            <w:tcW w:w="180" w:type="dxa"/>
            <w:vAlign w:val="bottom"/>
            <w:tcBorders>
              <w:top w:val="single" w:sz="8" w:color="EAEBEC"/>
            </w:tcBorders>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top w:val="single" w:sz="8" w:color="EAEBEC"/>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2.59</w:t>
            </w:r>
          </w:p>
        </w:tc>
        <w:tc>
          <w:tcPr>
            <w:tcW w:w="1220" w:type="dxa"/>
            <w:vAlign w:val="bottom"/>
            <w:tcBorders>
              <w:top w:val="single" w:sz="8" w:color="EAEBEC"/>
            </w:tcBorders>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w:t>
            </w:r>
          </w:p>
        </w:tc>
        <w:tc>
          <w:tcPr>
            <w:tcW w:w="320" w:type="dxa"/>
            <w:vAlign w:val="bottom"/>
            <w:tcBorders>
              <w:top w:val="single" w:sz="8" w:color="EAEBEC"/>
            </w:tcBorders>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top w:val="single" w:sz="8" w:color="EAEBEC"/>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53,383</w:t>
            </w:r>
          </w:p>
        </w:tc>
        <w:tc>
          <w:tcPr>
            <w:tcW w:w="60" w:type="dxa"/>
            <w:vAlign w:val="bottom"/>
            <w:tcBorders>
              <w:top w:val="single" w:sz="8" w:color="EAEBEC"/>
            </w:tcBorders>
            <w:shd w:val="clear" w:color="auto" w:fill="EAEBEC"/>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7"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231F20"/>
        </w:rPr>
        <w:t>As of January 31, 2026, unrecognized compensation expense related to unvested RSUs was $33.2 million, which is expected to be recognized over a weighted average period of approximately 2.0 years.</w:t>
      </w:r>
    </w:p>
    <w:p>
      <w:pPr>
        <w:spacing w:after="0" w:line="169"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231F20"/>
        </w:rPr>
        <w:t>RSA activity has not been material and relates to an RSA of Class A common stock granted to an executive in March 2021. For this grant, 50% of the RSA vested on each of the first two anniversaries of the grant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Options</w:t>
      </w:r>
    </w:p>
    <w:p>
      <w:pPr>
        <w:spacing w:after="0" w:line="120"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31F20"/>
        </w:rPr>
        <w:t>The Company provides stock option grants, which are time-vested, as a form of employee compensation. In most cases, 34% of the options generally becomes vested on the anniversary of the grant date, followed by 16.5% of the options in four equal semi-annual installments thereafter. Stock options generally expire 10 years from the grant date.</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90</w:t>
      </w:r>
    </w:p>
    <w:p>
      <w:pPr>
        <w:sectPr>
          <w:pgSz w:w="11880" w:h="15480" w:orient="portrait"/>
          <w:cols w:equalWidth="0" w:num="1">
            <w:col w:w="9360"/>
          </w:cols>
          <w:pgMar w:left="1260" w:top="1240" w:right="1260" w:bottom="0" w:gutter="0" w:footer="0" w:header="0"/>
          <w:type w:val="continuous"/>
        </w:sectPr>
      </w:pPr>
    </w:p>
    <w:bookmarkStart w:id="100" w:name="page101"/>
    <w:bookmarkEnd w:id="100"/>
    <w:p>
      <w:pPr>
        <w:ind w:right="80" w:firstLine="490"/>
        <w:spacing w:after="0" w:line="277" w:lineRule="auto"/>
        <w:rPr>
          <w:sz w:val="20"/>
          <w:szCs w:val="20"/>
          <w:color w:val="auto"/>
        </w:rPr>
      </w:pPr>
      <w:r>
        <w:rPr>
          <w:rFonts w:ascii="Times New Roman" w:cs="Times New Roman" w:eastAsia="Times New Roman" w:hAnsi="Times New Roman"/>
          <w:sz w:val="20"/>
          <w:szCs w:val="20"/>
          <w:color w:val="231F20"/>
        </w:rPr>
        <w:t>Stock option activity under the 2021 Equity Incentive Plan was as follows (in thousands, except per share and contractual life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231F20"/>
              </w:rPr>
              <w:t>Weighted</w:t>
            </w: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average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6"/>
                <w:szCs w:val="16"/>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231F20"/>
                <w:w w:val="99"/>
              </w:rPr>
              <w:t>Shares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231F20"/>
                <w:w w:val="97"/>
              </w:rPr>
              <w:t>average</w:t>
            </w: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remaining</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w w:val="99"/>
              </w:rPr>
              <w:t>Aggregate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6"/>
                <w:szCs w:val="16"/>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w w:val="98"/>
              </w:rPr>
              <w:t>subject</w:t>
            </w:r>
          </w:p>
        </w:tc>
        <w:tc>
          <w:tcPr>
            <w:tcW w:w="6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exercise price</w:t>
            </w:r>
          </w:p>
        </w:tc>
        <w:tc>
          <w:tcPr>
            <w:tcW w:w="2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contractual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rPr>
              <w:t>intrinsic</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231F20"/>
              </w:rPr>
              <w:t>to options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231F20"/>
                <w:w w:val="99"/>
              </w:rPr>
              <w:t>per share</w:t>
            </w:r>
          </w:p>
        </w:tc>
        <w:tc>
          <w:tcPr>
            <w:tcW w:w="2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life (years)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rPr>
              <w:t>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680" w:type="dxa"/>
            <w:vAlign w:val="bottom"/>
            <w:tcBorders>
              <w:top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Outstanding, February 1, 2025</w:t>
            </w:r>
          </w:p>
        </w:tc>
        <w:tc>
          <w:tcPr>
            <w:tcW w:w="100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11,685</w:t>
            </w:r>
          </w:p>
        </w:tc>
        <w:tc>
          <w:tcPr>
            <w:tcW w:w="140" w:type="dxa"/>
            <w:vAlign w:val="bottom"/>
            <w:tcBorders>
              <w:top w:val="single" w:sz="8" w:color="EAEBEC"/>
            </w:tcBorders>
            <w:shd w:val="clear" w:color="auto" w:fill="EAEBEC"/>
          </w:tcPr>
          <w:p>
            <w:pPr>
              <w:spacing w:after="0"/>
              <w:rPr>
                <w:sz w:val="20"/>
                <w:szCs w:val="20"/>
                <w:color w:val="auto"/>
              </w:rPr>
            </w:pPr>
          </w:p>
        </w:tc>
        <w:tc>
          <w:tcPr>
            <w:tcW w:w="60" w:type="dxa"/>
            <w:vAlign w:val="bottom"/>
            <w:tcBorders>
              <w:top w:val="single" w:sz="8" w:color="EAEBEC"/>
            </w:tcBorders>
            <w:shd w:val="clear" w:color="auto" w:fill="EAEBEC"/>
          </w:tcPr>
          <w:p>
            <w:pPr>
              <w:spacing w:after="0"/>
              <w:rPr>
                <w:sz w:val="20"/>
                <w:szCs w:val="20"/>
                <w:color w:val="auto"/>
              </w:rPr>
            </w:pPr>
          </w:p>
        </w:tc>
        <w:tc>
          <w:tcPr>
            <w:tcW w:w="1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6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6.99</w:t>
            </w:r>
          </w:p>
        </w:tc>
        <w:tc>
          <w:tcPr>
            <w:tcW w:w="200" w:type="dxa"/>
            <w:vAlign w:val="bottom"/>
            <w:tcBorders>
              <w:top w:val="single" w:sz="8" w:color="EAEBEC"/>
            </w:tcBorders>
            <w:shd w:val="clear" w:color="auto" w:fill="EAEBEC"/>
          </w:tcPr>
          <w:p>
            <w:pPr>
              <w:spacing w:after="0"/>
              <w:rPr>
                <w:sz w:val="20"/>
                <w:szCs w:val="20"/>
                <w:color w:val="auto"/>
              </w:rPr>
            </w:pPr>
          </w:p>
        </w:tc>
        <w:tc>
          <w:tcPr>
            <w:tcW w:w="10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8.8</w:t>
            </w:r>
          </w:p>
        </w:tc>
        <w:tc>
          <w:tcPr>
            <w:tcW w:w="200" w:type="dxa"/>
            <w:vAlign w:val="bottom"/>
            <w:tcBorders>
              <w:top w:val="single" w:sz="8" w:color="EAEBEC"/>
            </w:tcBorders>
            <w:shd w:val="clear" w:color="auto" w:fill="EAEBEC"/>
          </w:tcPr>
          <w:p>
            <w:pPr>
              <w:spacing w:after="0"/>
              <w:rPr>
                <w:sz w:val="20"/>
                <w:szCs w:val="20"/>
                <w:color w:val="auto"/>
              </w:rPr>
            </w:pPr>
          </w:p>
        </w:tc>
        <w:tc>
          <w:tcPr>
            <w:tcW w:w="1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88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Borders>
              <w:top w:val="single" w:sz="8" w:color="EAEBEC"/>
            </w:tcBorders>
            <w:shd w:val="clear" w:color="auto" w:fill="EAEBE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Granted</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3,050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2.46</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Exercised</w:t>
            </w:r>
          </w:p>
        </w:tc>
        <w:tc>
          <w:tcPr>
            <w:tcW w:w="1140" w:type="dxa"/>
            <w:vAlign w:val="bottom"/>
            <w:gridSpan w:val="2"/>
            <w:shd w:val="clear" w:color="auto" w:fill="EAEBEC"/>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AEBEC"/>
          </w:tcPr>
          <w:p>
            <w:pPr>
              <w:spacing w:after="0"/>
              <w:rPr>
                <w:sz w:val="21"/>
                <w:szCs w:val="21"/>
                <w:color w:val="auto"/>
              </w:rPr>
            </w:pPr>
          </w:p>
        </w:tc>
        <w:tc>
          <w:tcPr>
            <w:tcW w:w="140" w:type="dxa"/>
            <w:vAlign w:val="bottom"/>
            <w:shd w:val="clear" w:color="auto" w:fill="EAEBEC"/>
          </w:tcPr>
          <w:p>
            <w:pPr>
              <w:spacing w:after="0"/>
              <w:rPr>
                <w:sz w:val="21"/>
                <w:szCs w:val="21"/>
                <w:color w:val="auto"/>
              </w:rPr>
            </w:pPr>
          </w:p>
        </w:tc>
        <w:tc>
          <w:tcPr>
            <w:tcW w:w="8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0" w:type="dxa"/>
            <w:vAlign w:val="bottom"/>
            <w:shd w:val="clear" w:color="auto" w:fill="EAEBEC"/>
          </w:tcPr>
          <w:p>
            <w:pPr>
              <w:spacing w:after="0"/>
              <w:rPr>
                <w:sz w:val="21"/>
                <w:szCs w:val="21"/>
                <w:color w:val="auto"/>
              </w:rPr>
            </w:pPr>
          </w:p>
        </w:tc>
        <w:tc>
          <w:tcPr>
            <w:tcW w:w="1020" w:type="dxa"/>
            <w:vAlign w:val="bottom"/>
            <w:shd w:val="clear" w:color="auto" w:fill="EAEBEC"/>
          </w:tcPr>
          <w:p>
            <w:pPr>
              <w:spacing w:after="0"/>
              <w:rPr>
                <w:sz w:val="21"/>
                <w:szCs w:val="21"/>
                <w:color w:val="auto"/>
              </w:rPr>
            </w:pPr>
          </w:p>
        </w:tc>
        <w:tc>
          <w:tcPr>
            <w:tcW w:w="20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880" w:type="dxa"/>
            <w:vAlign w:val="bottom"/>
            <w:shd w:val="clear" w:color="auto" w:fill="EAEBEC"/>
          </w:tcPr>
          <w:p>
            <w:pPr>
              <w:spacing w:after="0"/>
              <w:rPr>
                <w:sz w:val="21"/>
                <w:szCs w:val="21"/>
                <w:color w:val="auto"/>
              </w:rPr>
            </w:pPr>
          </w:p>
        </w:tc>
        <w:tc>
          <w:tcPr>
            <w:tcW w:w="6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80" w:type="dxa"/>
            <w:vAlign w:val="bottom"/>
          </w:tcPr>
          <w:p>
            <w:pPr>
              <w:spacing w:after="0"/>
              <w:rPr>
                <w:sz w:val="20"/>
                <w:szCs w:val="20"/>
                <w:color w:val="auto"/>
              </w:rPr>
            </w:pPr>
            <w:r>
              <w:rPr>
                <w:rFonts w:ascii="Times New Roman" w:cs="Times New Roman" w:eastAsia="Times New Roman" w:hAnsi="Times New Roman"/>
                <w:sz w:val="20"/>
                <w:szCs w:val="20"/>
                <w:color w:val="231F20"/>
              </w:rPr>
              <w:t>Forfeited/expired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(1,173)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11.51</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80" w:type="dxa"/>
            <w:vAlign w:val="bottom"/>
            <w:tcBorders>
              <w:top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Outstanding, January 31, 2026</w:t>
            </w:r>
          </w:p>
        </w:tc>
        <w:tc>
          <w:tcPr>
            <w:tcW w:w="100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13,562</w:t>
            </w:r>
          </w:p>
        </w:tc>
        <w:tc>
          <w:tcPr>
            <w:tcW w:w="140" w:type="dxa"/>
            <w:vAlign w:val="bottom"/>
            <w:tcBorders>
              <w:top w:val="single" w:sz="8" w:color="EAEBEC"/>
            </w:tcBorders>
            <w:shd w:val="clear" w:color="auto" w:fill="EAEBEC"/>
          </w:tcPr>
          <w:p>
            <w:pPr>
              <w:spacing w:after="0"/>
              <w:rPr>
                <w:sz w:val="20"/>
                <w:szCs w:val="20"/>
                <w:color w:val="auto"/>
              </w:rPr>
            </w:pPr>
          </w:p>
        </w:tc>
        <w:tc>
          <w:tcPr>
            <w:tcW w:w="200" w:type="dxa"/>
            <w:vAlign w:val="bottom"/>
            <w:tcBorders>
              <w:top w:val="single" w:sz="8" w:color="EAEBEC"/>
            </w:tcBorders>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tcBorders>
              <w:top w:val="single" w:sz="8" w:color="EAEBEC"/>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5.58</w:t>
            </w:r>
          </w:p>
        </w:tc>
        <w:tc>
          <w:tcPr>
            <w:tcW w:w="1220" w:type="dxa"/>
            <w:vAlign w:val="bottom"/>
            <w:tcBorders>
              <w:top w:val="single" w:sz="8" w:color="EAEBEC"/>
            </w:tcBorders>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8.3</w:t>
            </w:r>
          </w:p>
        </w:tc>
        <w:tc>
          <w:tcPr>
            <w:tcW w:w="320" w:type="dxa"/>
            <w:vAlign w:val="bottom"/>
            <w:tcBorders>
              <w:top w:val="single" w:sz="8" w:color="EAEBEC"/>
            </w:tcBorders>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tcBorders>
              <w:top w:val="single" w:sz="8" w:color="EAEBEC"/>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644</w:t>
            </w:r>
          </w:p>
        </w:tc>
        <w:tc>
          <w:tcPr>
            <w:tcW w:w="60" w:type="dxa"/>
            <w:vAlign w:val="bottom"/>
            <w:tcBorders>
              <w:top w:val="single" w:sz="8" w:color="EAEBEC"/>
            </w:tcBorders>
            <w:shd w:val="clear" w:color="auto" w:fill="EAEBE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Exercisable, January 31, 2026</w:t>
            </w:r>
          </w:p>
        </w:tc>
        <w:tc>
          <w:tcPr>
            <w:tcW w:w="10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6.37</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80" w:type="dxa"/>
            <w:vAlign w:val="bottom"/>
            <w:vMerge w:val="continue"/>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7,491</w:t>
            </w:r>
          </w:p>
        </w:tc>
        <w:tc>
          <w:tcPr>
            <w:tcW w:w="140" w:type="dxa"/>
            <w:vAlign w:val="bottom"/>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right="320" w:firstLine="490"/>
        <w:spacing w:after="0" w:line="258" w:lineRule="auto"/>
        <w:rPr>
          <w:sz w:val="20"/>
          <w:szCs w:val="20"/>
          <w:color w:val="auto"/>
        </w:rPr>
      </w:pPr>
      <w:r>
        <w:rPr>
          <w:rFonts w:ascii="Times New Roman" w:cs="Times New Roman" w:eastAsia="Times New Roman" w:hAnsi="Times New Roman"/>
          <w:sz w:val="20"/>
          <w:szCs w:val="20"/>
          <w:color w:val="231F20"/>
        </w:rPr>
        <w:t>No stock option awards were granted in fiscal 2023. The fair value of stock option awards granted in fiscal 2025 and 2024 was estimated at the grant dates using the Black-Scholes option pricing model with the following assumptions: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21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Fiscal year ended</w:t>
            </w:r>
          </w:p>
        </w:tc>
        <w:tc>
          <w:tcPr>
            <w:tcW w:w="200" w:type="dxa"/>
            <w:vAlign w:val="bottom"/>
          </w:tcPr>
          <w:p>
            <w:pPr>
              <w:spacing w:after="0"/>
              <w:rPr>
                <w:sz w:val="17"/>
                <w:szCs w:val="17"/>
                <w:color w:val="auto"/>
              </w:rPr>
            </w:pPr>
          </w:p>
        </w:tc>
        <w:tc>
          <w:tcPr>
            <w:tcW w:w="216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Fiscal year ended</w:t>
            </w:r>
          </w:p>
        </w:tc>
      </w:tr>
      <w:tr>
        <w:trPr>
          <w:trHeight w:val="174"/>
        </w:trPr>
        <w:tc>
          <w:tcPr>
            <w:tcW w:w="4880" w:type="dxa"/>
            <w:vAlign w:val="bottom"/>
          </w:tcPr>
          <w:p>
            <w:pPr>
              <w:spacing w:after="0"/>
              <w:rPr>
                <w:sz w:val="15"/>
                <w:szCs w:val="15"/>
                <w:color w:val="auto"/>
              </w:rPr>
            </w:pPr>
          </w:p>
        </w:tc>
        <w:tc>
          <w:tcPr>
            <w:tcW w:w="21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8"/>
              </w:rPr>
              <w:t>January 31,</w:t>
            </w:r>
          </w:p>
        </w:tc>
        <w:tc>
          <w:tcPr>
            <w:tcW w:w="200" w:type="dxa"/>
            <w:vAlign w:val="bottom"/>
          </w:tcPr>
          <w:p>
            <w:pPr>
              <w:spacing w:after="0"/>
              <w:rPr>
                <w:sz w:val="15"/>
                <w:szCs w:val="15"/>
                <w:color w:val="auto"/>
              </w:rPr>
            </w:pPr>
          </w:p>
        </w:tc>
        <w:tc>
          <w:tcPr>
            <w:tcW w:w="216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231F20"/>
                <w:w w:val="98"/>
              </w:rPr>
              <w:t>February 1,</w:t>
            </w:r>
          </w:p>
        </w:tc>
      </w:tr>
      <w:tr>
        <w:trPr>
          <w:trHeight w:val="203"/>
        </w:trPr>
        <w:tc>
          <w:tcPr>
            <w:tcW w:w="488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2360" w:type="dxa"/>
            <w:vAlign w:val="bottom"/>
            <w:gridSpan w:val="3"/>
          </w:tcPr>
          <w:p>
            <w:pPr>
              <w:jc w:val="right"/>
              <w:ind w:right="820"/>
              <w:spacing w:after="0"/>
              <w:rPr>
                <w:sz w:val="20"/>
                <w:szCs w:val="20"/>
                <w:color w:val="auto"/>
              </w:rPr>
            </w:pPr>
            <w:r>
              <w:rPr>
                <w:rFonts w:ascii="Times New Roman" w:cs="Times New Roman" w:eastAsia="Times New Roman" w:hAnsi="Times New Roman"/>
                <w:sz w:val="16"/>
                <w:szCs w:val="16"/>
                <w:b w:val="1"/>
                <w:bCs w:val="1"/>
                <w:color w:val="231F20"/>
              </w:rPr>
              <w:t>2025</w:t>
            </w:r>
          </w:p>
        </w:tc>
      </w:tr>
      <w:tr>
        <w:trPr>
          <w:trHeight w:val="193"/>
        </w:trPr>
        <w:tc>
          <w:tcPr>
            <w:tcW w:w="4880" w:type="dxa"/>
            <w:vAlign w:val="bottom"/>
          </w:tcPr>
          <w:p>
            <w:pPr>
              <w:spacing w:after="0"/>
              <w:rPr>
                <w:sz w:val="16"/>
                <w:szCs w:val="16"/>
                <w:color w:val="auto"/>
              </w:rPr>
            </w:pPr>
          </w:p>
        </w:tc>
        <w:tc>
          <w:tcPr>
            <w:tcW w:w="212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200" w:type="dxa"/>
            <w:vAlign w:val="bottom"/>
          </w:tcPr>
          <w:p>
            <w:pPr>
              <w:spacing w:after="0"/>
              <w:rPr>
                <w:sz w:val="16"/>
                <w:szCs w:val="16"/>
                <w:color w:val="auto"/>
              </w:rPr>
            </w:pPr>
          </w:p>
        </w:tc>
        <w:tc>
          <w:tcPr>
            <w:tcW w:w="2160" w:type="dxa"/>
            <w:vAlign w:val="bottom"/>
            <w:tcBorders>
              <w:top w:val="single" w:sz="8" w:color="231F20"/>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rPr>
              <w:t>(52 weeks)</w:t>
            </w:r>
          </w:p>
        </w:tc>
      </w:tr>
      <w:tr>
        <w:trPr>
          <w:trHeight w:val="244"/>
        </w:trPr>
        <w:tc>
          <w:tcPr>
            <w:tcW w:w="48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Dividend yield</w:t>
            </w:r>
          </w:p>
        </w:tc>
        <w:tc>
          <w:tcPr>
            <w:tcW w:w="2120" w:type="dxa"/>
            <w:vAlign w:val="bottom"/>
            <w:shd w:val="clear" w:color="auto" w:fill="EAEBEC"/>
          </w:tcPr>
          <w:p>
            <w:pPr>
              <w:jc w:val="center"/>
              <w:spacing w:after="0"/>
              <w:rPr>
                <w:sz w:val="20"/>
                <w:szCs w:val="20"/>
                <w:color w:val="auto"/>
              </w:rPr>
            </w:pPr>
            <w:r>
              <w:rPr>
                <w:rFonts w:ascii="Times New Roman" w:cs="Times New Roman" w:eastAsia="Times New Roman" w:hAnsi="Times New Roman"/>
                <w:sz w:val="20"/>
                <w:szCs w:val="20"/>
                <w:color w:val="231F20"/>
                <w:w w:val="95"/>
              </w:rPr>
              <w:t>0.0%</w:t>
            </w:r>
          </w:p>
        </w:tc>
        <w:tc>
          <w:tcPr>
            <w:tcW w:w="2360" w:type="dxa"/>
            <w:vAlign w:val="bottom"/>
            <w:gridSpan w:val="3"/>
            <w:shd w:val="clear" w:color="auto" w:fill="EAEBEC"/>
          </w:tcPr>
          <w:p>
            <w:pPr>
              <w:jc w:val="right"/>
              <w:ind w:right="780"/>
              <w:spacing w:after="0"/>
              <w:rPr>
                <w:sz w:val="20"/>
                <w:szCs w:val="20"/>
                <w:color w:val="auto"/>
              </w:rPr>
            </w:pPr>
            <w:r>
              <w:rPr>
                <w:rFonts w:ascii="Times New Roman" w:cs="Times New Roman" w:eastAsia="Times New Roman" w:hAnsi="Times New Roman"/>
                <w:sz w:val="20"/>
                <w:szCs w:val="20"/>
                <w:color w:val="231F20"/>
              </w:rPr>
              <w:t>0.0%</w:t>
            </w:r>
          </w:p>
        </w:tc>
      </w:tr>
      <w:tr>
        <w:trPr>
          <w:trHeight w:val="244"/>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231F20"/>
              </w:rPr>
              <w:t>Expected volatility (1)</w:t>
            </w: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69.3%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59.1%</w:t>
            </w:r>
          </w:p>
        </w:tc>
        <w:tc>
          <w:tcPr>
            <w:tcW w:w="114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- 66.1%</w:t>
            </w:r>
          </w:p>
        </w:tc>
      </w:tr>
      <w:tr>
        <w:trPr>
          <w:trHeight w:val="244"/>
        </w:trPr>
        <w:tc>
          <w:tcPr>
            <w:tcW w:w="48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Risk-free interest rate (2)</w:t>
            </w:r>
          </w:p>
        </w:tc>
        <w:tc>
          <w:tcPr>
            <w:tcW w:w="2120" w:type="dxa"/>
            <w:vAlign w:val="bottom"/>
            <w:shd w:val="clear" w:color="auto" w:fill="EAEBEC"/>
          </w:tcPr>
          <w:p>
            <w:pPr>
              <w:jc w:val="center"/>
              <w:spacing w:after="0"/>
              <w:rPr>
                <w:sz w:val="20"/>
                <w:szCs w:val="20"/>
                <w:color w:val="auto"/>
              </w:rPr>
            </w:pPr>
            <w:r>
              <w:rPr>
                <w:rFonts w:ascii="Times New Roman" w:cs="Times New Roman" w:eastAsia="Times New Roman" w:hAnsi="Times New Roman"/>
                <w:sz w:val="20"/>
                <w:szCs w:val="20"/>
                <w:color w:val="231F20"/>
                <w:w w:val="95"/>
              </w:rPr>
              <w:t>4.0%</w:t>
            </w:r>
          </w:p>
        </w:tc>
        <w:tc>
          <w:tcPr>
            <w:tcW w:w="122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4.1%</w:t>
            </w:r>
          </w:p>
        </w:tc>
        <w:tc>
          <w:tcPr>
            <w:tcW w:w="1140" w:type="dxa"/>
            <w:vAlign w:val="bottom"/>
            <w:shd w:val="clear" w:color="auto" w:fill="EAEBEC"/>
          </w:tcPr>
          <w:p>
            <w:pPr>
              <w:ind w:left="20"/>
              <w:spacing w:after="0"/>
              <w:rPr>
                <w:sz w:val="20"/>
                <w:szCs w:val="20"/>
                <w:color w:val="auto"/>
              </w:rPr>
            </w:pPr>
            <w:r>
              <w:rPr>
                <w:rFonts w:ascii="Times New Roman" w:cs="Times New Roman" w:eastAsia="Times New Roman" w:hAnsi="Times New Roman"/>
                <w:sz w:val="20"/>
                <w:szCs w:val="20"/>
                <w:color w:val="231F20"/>
              </w:rPr>
              <w:t>- 4.5%</w:t>
            </w:r>
          </w:p>
        </w:tc>
      </w:tr>
      <w:tr>
        <w:trPr>
          <w:trHeight w:val="244"/>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231F20"/>
              </w:rPr>
              <w:t>Expected term (3)</w:t>
            </w: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5.9 years</w:t>
            </w:r>
          </w:p>
        </w:tc>
        <w:tc>
          <w:tcPr>
            <w:tcW w:w="200" w:type="dxa"/>
            <w:vAlign w:val="bottom"/>
          </w:tcPr>
          <w:p>
            <w:pPr>
              <w:spacing w:after="0"/>
              <w:rPr>
                <w:sz w:val="21"/>
                <w:szCs w:val="21"/>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5.1 to 7.5 years</w:t>
            </w:r>
          </w:p>
        </w:tc>
      </w:tr>
      <w:tr>
        <w:trPr>
          <w:trHeight w:val="244"/>
        </w:trPr>
        <w:tc>
          <w:tcPr>
            <w:tcW w:w="48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Grant date fair value per share</w:t>
            </w:r>
          </w:p>
        </w:tc>
        <w:tc>
          <w:tcPr>
            <w:tcW w:w="2120" w:type="dxa"/>
            <w:vAlign w:val="bottom"/>
            <w:shd w:val="clear" w:color="auto" w:fill="EAEBEC"/>
          </w:tcPr>
          <w:p>
            <w:pPr>
              <w:jc w:val="center"/>
              <w:spacing w:after="0"/>
              <w:rPr>
                <w:sz w:val="20"/>
                <w:szCs w:val="20"/>
                <w:color w:val="auto"/>
              </w:rPr>
            </w:pPr>
            <w:r>
              <w:rPr>
                <w:rFonts w:ascii="Times New Roman" w:cs="Times New Roman" w:eastAsia="Times New Roman" w:hAnsi="Times New Roman"/>
                <w:sz w:val="20"/>
                <w:szCs w:val="20"/>
                <w:color w:val="231F20"/>
                <w:w w:val="97"/>
              </w:rPr>
              <w:t>$2.46</w:t>
            </w:r>
          </w:p>
        </w:tc>
        <w:tc>
          <w:tcPr>
            <w:tcW w:w="122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$2.11</w:t>
            </w:r>
          </w:p>
        </w:tc>
        <w:tc>
          <w:tcPr>
            <w:tcW w:w="1140" w:type="dxa"/>
            <w:vAlign w:val="bottom"/>
            <w:shd w:val="clear" w:color="auto" w:fill="EAEBEC"/>
          </w:tcPr>
          <w:p>
            <w:pPr>
              <w:ind w:left="20"/>
              <w:spacing w:after="0"/>
              <w:rPr>
                <w:sz w:val="20"/>
                <w:szCs w:val="20"/>
                <w:color w:val="auto"/>
              </w:rPr>
            </w:pPr>
            <w:r>
              <w:rPr>
                <w:rFonts w:ascii="Times New Roman" w:cs="Times New Roman" w:eastAsia="Times New Roman" w:hAnsi="Times New Roman"/>
                <w:sz w:val="20"/>
                <w:szCs w:val="20"/>
                <w:color w:val="231F20"/>
              </w:rPr>
              <w:t>- $3.58</w:t>
            </w:r>
          </w:p>
        </w:tc>
      </w:tr>
      <w:tr>
        <w:trPr>
          <w:trHeight w:val="266"/>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231F20"/>
              </w:rPr>
              <w:t>Estimated fair value per option granted</w:t>
            </w: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7"/>
              </w:rPr>
              <w:t>$1.59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$0.72</w:t>
            </w:r>
          </w:p>
        </w:tc>
        <w:tc>
          <w:tcPr>
            <w:tcW w:w="1140" w:type="dxa"/>
            <w:vAlign w:val="bottom"/>
          </w:tcPr>
          <w:p>
            <w:pPr>
              <w:ind w:left="20"/>
              <w:spacing w:after="0"/>
              <w:rPr>
                <w:sz w:val="20"/>
                <w:szCs w:val="20"/>
                <w:color w:val="auto"/>
              </w:rPr>
            </w:pPr>
            <w:r>
              <w:rPr>
                <w:rFonts w:ascii="Times New Roman" w:cs="Times New Roman" w:eastAsia="Times New Roman" w:hAnsi="Times New Roman"/>
                <w:sz w:val="20"/>
                <w:szCs w:val="20"/>
                <w:color w:val="231F20"/>
              </w:rPr>
              <w:t>- $2.20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59690</wp:posOffset>
                </wp:positionV>
                <wp:extent cx="91440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7pt" to="72pt,4.7pt" o:allowincell="f" strokecolor="#231F20" strokeweight="0.5pt"/>
            </w:pict>
          </mc:Fallback>
        </mc:AlternateContent>
      </w:r>
    </w:p>
    <w:p>
      <w:pPr>
        <w:spacing w:after="0" w:line="105" w:lineRule="exact"/>
        <w:rPr>
          <w:sz w:val="20"/>
          <w:szCs w:val="20"/>
          <w:color w:val="auto"/>
        </w:rPr>
      </w:pPr>
    </w:p>
    <w:p>
      <w:pPr>
        <w:ind w:left="480" w:right="20" w:hanging="480"/>
        <w:spacing w:after="0" w:line="277" w:lineRule="auto"/>
        <w:tabs>
          <w:tab w:leader="none" w:pos="480" w:val="left"/>
        </w:tabs>
        <w:numPr>
          <w:ilvl w:val="0"/>
          <w:numId w:val="3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expected volatility was estimated based on the historical volatility of the Company for a term consistent with the expected term of the stock options.</w:t>
      </w:r>
    </w:p>
    <w:p>
      <w:pPr>
        <w:spacing w:after="0" w:line="3" w:lineRule="exact"/>
        <w:rPr>
          <w:rFonts w:ascii="Times New Roman" w:cs="Times New Roman" w:eastAsia="Times New Roman" w:hAnsi="Times New Roman"/>
          <w:sz w:val="16"/>
          <w:szCs w:val="16"/>
          <w:color w:val="231F20"/>
        </w:rPr>
      </w:pPr>
    </w:p>
    <w:p>
      <w:pPr>
        <w:ind w:left="480" w:right="80" w:hanging="480"/>
        <w:spacing w:after="0" w:line="277" w:lineRule="auto"/>
        <w:tabs>
          <w:tab w:leader="none" w:pos="480" w:val="left"/>
        </w:tabs>
        <w:numPr>
          <w:ilvl w:val="0"/>
          <w:numId w:val="3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risk-free interest rates were based on the U.S. Treasury constant maturity interest rate for a term consistent with the expected term of the stock options.</w:t>
      </w:r>
    </w:p>
    <w:p>
      <w:pPr>
        <w:spacing w:after="0" w:line="3" w:lineRule="exact"/>
        <w:rPr>
          <w:rFonts w:ascii="Times New Roman" w:cs="Times New Roman" w:eastAsia="Times New Roman" w:hAnsi="Times New Roman"/>
          <w:sz w:val="16"/>
          <w:szCs w:val="16"/>
          <w:color w:val="231F20"/>
        </w:rPr>
      </w:pPr>
    </w:p>
    <w:p>
      <w:pPr>
        <w:ind w:left="480" w:right="400" w:hanging="480"/>
        <w:spacing w:after="0" w:line="277" w:lineRule="auto"/>
        <w:tabs>
          <w:tab w:leader="none" w:pos="480" w:val="left"/>
        </w:tabs>
        <w:numPr>
          <w:ilvl w:val="0"/>
          <w:numId w:val="3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expected term of the stock options represents the estimated period of time until exercise and was calculated using the simplified method.</w:t>
      </w:r>
    </w:p>
    <w:p>
      <w:pPr>
        <w:spacing w:after="0" w:line="222" w:lineRule="exact"/>
        <w:rPr>
          <w:sz w:val="20"/>
          <w:szCs w:val="20"/>
          <w:color w:val="auto"/>
        </w:rPr>
      </w:pPr>
    </w:p>
    <w:p>
      <w:pPr>
        <w:ind w:right="280" w:firstLine="540"/>
        <w:spacing w:after="0" w:line="277" w:lineRule="auto"/>
        <w:rPr>
          <w:sz w:val="20"/>
          <w:szCs w:val="20"/>
          <w:color w:val="auto"/>
        </w:rPr>
      </w:pPr>
      <w:r>
        <w:rPr>
          <w:rFonts w:ascii="Times New Roman" w:cs="Times New Roman" w:eastAsia="Times New Roman" w:hAnsi="Times New Roman"/>
          <w:sz w:val="20"/>
          <w:szCs w:val="20"/>
          <w:color w:val="231F20"/>
        </w:rPr>
        <w:t>As of January 31, 2026, unrecognized compensation expense related to unvested options was $8.7 million, which is expected to be recognized over a weighted average period of approximately 1.7 years.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ESPP</w:t>
      </w:r>
    </w:p>
    <w:p>
      <w:pPr>
        <w:spacing w:after="0" w:line="235"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 As of January 31, 2026, 2.9 million shares of Class A common stock were available for issuance under the ESPP.</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Earnings (Loss) Per Share</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Shares of Class A common stock and Class B-1 common stock participate equally in the earnings and losses of the Company and have identical rights in distribution. Basic net income (loss) per Class A and B-1 common share is based on the weighted-average Class A and B-1 common shares outstanding during the relevant period. Diluted net income (loss) per Class A and B-1 common share is based on the weighted-average Class A and B-1 common shares outstanding during the relevant period adjusted for the effect of potentially dilutive securities.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91</w:t>
      </w:r>
    </w:p>
    <w:p>
      <w:pPr>
        <w:sectPr>
          <w:pgSz w:w="11880" w:h="15480" w:orient="portrait"/>
          <w:cols w:equalWidth="0" w:num="1">
            <w:col w:w="9360"/>
          </w:cols>
          <w:pgMar w:left="1260" w:top="1240" w:right="1260" w:bottom="0" w:gutter="0" w:footer="0" w:header="0"/>
          <w:type w:val="continuous"/>
        </w:sectPr>
      </w:pPr>
    </w:p>
    <w:bookmarkStart w:id="101" w:name="page102"/>
    <w:bookmarkEnd w:id="101"/>
    <w:p>
      <w:pPr>
        <w:ind w:firstLine="490"/>
        <w:spacing w:after="0" w:line="249" w:lineRule="auto"/>
        <w:rPr>
          <w:sz w:val="20"/>
          <w:szCs w:val="20"/>
          <w:color w:val="auto"/>
        </w:rPr>
      </w:pPr>
      <w:r>
        <w:rPr>
          <w:rFonts w:ascii="Times New Roman" w:cs="Times New Roman" w:eastAsia="Times New Roman" w:hAnsi="Times New Roman"/>
          <w:sz w:val="20"/>
          <w:szCs w:val="20"/>
          <w:color w:val="231F20"/>
        </w:rPr>
        <w:t>Potentially dilutive securities include potential Class A common shares related to outstanding stock options and unvested RSUs, calculated using the treasury stock method. The calculation of diluted shares outstanding excludes options and RSUs where the combination of the exercise price (in the case of options) and the associated unrecognized compensation expense is greater than the average market price of Class A common shares because the inclusion of these securities would be antidilutive.</w:t>
      </w:r>
    </w:p>
    <w:p>
      <w:pPr>
        <w:spacing w:after="0" w:line="197" w:lineRule="exact"/>
        <w:rPr>
          <w:sz w:val="20"/>
          <w:szCs w:val="20"/>
          <w:color w:val="auto"/>
        </w:rPr>
      </w:pPr>
    </w:p>
    <w:p>
      <w:pPr>
        <w:ind w:right="220" w:firstLine="590"/>
        <w:spacing w:after="0" w:line="252" w:lineRule="auto"/>
        <w:rPr>
          <w:sz w:val="20"/>
          <w:szCs w:val="20"/>
          <w:color w:val="auto"/>
        </w:rPr>
      </w:pPr>
      <w:r>
        <w:rPr>
          <w:rFonts w:ascii="Times New Roman" w:cs="Times New Roman" w:eastAsia="Times New Roman" w:hAnsi="Times New Roman"/>
          <w:sz w:val="20"/>
          <w:szCs w:val="20"/>
          <w:color w:val="231F20"/>
        </w:rPr>
        <w:t>In fiscal 2025, there were approximately 16.1 million potential shares that were anti-dilutive and excluded from the computation of diluted shares outstanding. In fiscal 2024 and 2023, all outstanding stock options and unvested RSUs were excluded from the calculation of diluted loss per Class A and B-1 common share, as their effect would be antidilutive in a net loss period.</w:t>
      </w:r>
    </w:p>
    <w:p>
      <w:pPr>
        <w:spacing w:after="0" w:line="194" w:lineRule="exact"/>
        <w:rPr>
          <w:sz w:val="20"/>
          <w:szCs w:val="20"/>
          <w:color w:val="auto"/>
        </w:rPr>
      </w:pPr>
    </w:p>
    <w:p>
      <w:pPr>
        <w:jc w:val="both"/>
        <w:ind w:right="200" w:firstLine="490"/>
        <w:spacing w:after="0" w:line="252" w:lineRule="auto"/>
        <w:rPr>
          <w:sz w:val="20"/>
          <w:szCs w:val="20"/>
          <w:color w:val="auto"/>
        </w:rPr>
      </w:pPr>
      <w:r>
        <w:rPr>
          <w:rFonts w:ascii="Times New Roman" w:cs="Times New Roman" w:eastAsia="Times New Roman" w:hAnsi="Times New Roman"/>
          <w:sz w:val="20"/>
          <w:szCs w:val="20"/>
          <w:color w:val="231F20"/>
        </w:rPr>
        <w:t>Shares of Class B-2 common stock are not included in the calculation of net income (loss) per share as they only possess voting rights. Unvested RSUs contain forfeitable rights to dividend equivalent units if dividends are paid to holders of Class A and B-1 common stock. Because the dividend equivalent units are forfeitable, unvested RSUs are not considered participating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12. Income Taxes</w:t>
      </w:r>
    </w:p>
    <w:p>
      <w:pPr>
        <w:spacing w:after="0" w:line="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Income tax expense (benefit) consisted of the following (in thousands):</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231F20"/>
              </w:rPr>
              <w:t>Fiscal years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w w:val="98"/>
              </w:rPr>
              <w:t>January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231F20"/>
                <w:w w:val="98"/>
              </w:rPr>
              <w:t>February 3,</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40" w:type="dxa"/>
            <w:vAlign w:val="bottom"/>
            <w:tcBorders>
              <w:bottom w:val="single" w:sz="8" w:color="231F20"/>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center"/>
              <w:ind w:right="25"/>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1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231F20"/>
              </w:rPr>
              <w:t>(53 weeks)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8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Current:</w:t>
            </w:r>
          </w:p>
        </w:tc>
        <w:tc>
          <w:tcPr>
            <w:tcW w:w="100" w:type="dxa"/>
            <w:vAlign w:val="bottom"/>
            <w:shd w:val="clear" w:color="auto" w:fill="EAEBEC"/>
          </w:tcPr>
          <w:p>
            <w:pPr>
              <w:spacing w:after="0"/>
              <w:rPr>
                <w:sz w:val="21"/>
                <w:szCs w:val="21"/>
                <w:color w:val="auto"/>
              </w:rPr>
            </w:pPr>
          </w:p>
        </w:tc>
        <w:tc>
          <w:tcPr>
            <w:tcW w:w="92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c>
          <w:tcPr>
            <w:tcW w:w="2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94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c>
          <w:tcPr>
            <w:tcW w:w="60" w:type="dxa"/>
            <w:vAlign w:val="bottom"/>
            <w:shd w:val="clear" w:color="auto" w:fill="EAEBEC"/>
          </w:tcPr>
          <w:p>
            <w:pPr>
              <w:spacing w:after="0"/>
              <w:rPr>
                <w:sz w:val="21"/>
                <w:szCs w:val="21"/>
                <w:color w:val="auto"/>
              </w:rPr>
            </w:pPr>
          </w:p>
        </w:tc>
        <w:tc>
          <w:tcPr>
            <w:tcW w:w="6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92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(10,762)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15,971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23,321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State</w:t>
            </w:r>
          </w:p>
        </w:tc>
        <w:tc>
          <w:tcPr>
            <w:tcW w:w="100" w:type="dxa"/>
            <w:vAlign w:val="bottom"/>
            <w:shd w:val="clear" w:color="auto" w:fill="EAEBEC"/>
          </w:tcPr>
          <w:p>
            <w:pPr>
              <w:spacing w:after="0"/>
              <w:rPr>
                <w:sz w:val="21"/>
                <w:szCs w:val="21"/>
                <w:color w:val="auto"/>
              </w:rPr>
            </w:pPr>
          </w:p>
        </w:tc>
        <w:tc>
          <w:tcPr>
            <w:tcW w:w="10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(2,341)</w:t>
            </w:r>
          </w:p>
        </w:tc>
        <w:tc>
          <w:tcPr>
            <w:tcW w:w="2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5,204</w:t>
            </w:r>
          </w:p>
        </w:tc>
        <w:tc>
          <w:tcPr>
            <w:tcW w:w="80" w:type="dxa"/>
            <w:vAlign w:val="bottom"/>
            <w:shd w:val="clear" w:color="auto" w:fill="EAEBEC"/>
          </w:tcPr>
          <w:p>
            <w:pPr>
              <w:spacing w:after="0"/>
              <w:rPr>
                <w:sz w:val="21"/>
                <w:szCs w:val="21"/>
                <w:color w:val="auto"/>
              </w:rPr>
            </w:pPr>
          </w:p>
        </w:tc>
        <w:tc>
          <w:tcPr>
            <w:tcW w:w="60" w:type="dxa"/>
            <w:vAlign w:val="bottom"/>
            <w:shd w:val="clear" w:color="auto" w:fill="EAEBEC"/>
          </w:tcPr>
          <w:p>
            <w:pPr>
              <w:spacing w:after="0"/>
              <w:rPr>
                <w:sz w:val="21"/>
                <w:szCs w:val="21"/>
                <w:color w:val="auto"/>
              </w:rPr>
            </w:pPr>
          </w:p>
        </w:tc>
        <w:tc>
          <w:tcPr>
            <w:tcW w:w="6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9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2,615</w:t>
            </w:r>
          </w:p>
        </w:tc>
        <w:tc>
          <w:tcPr>
            <w:tcW w:w="10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Foreign</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1,836</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9"/>
        </w:trPr>
        <w:tc>
          <w:tcPr>
            <w:tcW w:w="4860" w:type="dxa"/>
            <w:vAlign w:val="bottom"/>
            <w:tcBorders>
              <w:top w:val="single" w:sz="8" w:color="EAEBEC"/>
            </w:tcBorders>
            <w:shd w:val="clear" w:color="auto" w:fill="EAEBEC"/>
          </w:tcPr>
          <w:p>
            <w:pPr>
              <w:spacing w:after="0"/>
              <w:rPr>
                <w:sz w:val="20"/>
                <w:szCs w:val="20"/>
                <w:color w:val="auto"/>
              </w:rPr>
            </w:pPr>
          </w:p>
        </w:tc>
        <w:tc>
          <w:tcPr>
            <w:tcW w:w="10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shd w:val="clear" w:color="auto" w:fill="EAEBEC"/>
              </w:rPr>
              <w:t>$</w:t>
            </w:r>
          </w:p>
        </w:tc>
        <w:tc>
          <w:tcPr>
            <w:tcW w:w="92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shd w:val="clear" w:color="auto" w:fill="EAEBEC"/>
              </w:rPr>
              <w:t>(10,784</w:t>
            </w:r>
          </w:p>
        </w:tc>
        <w:tc>
          <w:tcPr>
            <w:tcW w:w="80" w:type="dxa"/>
            <w:vAlign w:val="bottom"/>
            <w:tcBorders>
              <w:top w:val="single" w:sz="8" w:color="EAEBEC"/>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89"/>
                <w:shd w:val="clear" w:color="auto" w:fill="EAEBEC"/>
              </w:rPr>
              <w:t>)</w:t>
            </w:r>
          </w:p>
        </w:tc>
        <w:tc>
          <w:tcPr>
            <w:tcW w:w="20" w:type="dxa"/>
            <w:vAlign w:val="bottom"/>
            <w:tcBorders>
              <w:top w:val="single" w:sz="8" w:color="EAEBEC"/>
            </w:tcBorders>
            <w:shd w:val="clear" w:color="auto" w:fill="EAEBEC"/>
          </w:tcPr>
          <w:p>
            <w:pPr>
              <w:spacing w:after="0"/>
              <w:rPr>
                <w:sz w:val="20"/>
                <w:szCs w:val="20"/>
                <w:color w:val="auto"/>
              </w:rPr>
            </w:pPr>
          </w:p>
        </w:tc>
        <w:tc>
          <w:tcPr>
            <w:tcW w:w="200" w:type="dxa"/>
            <w:vAlign w:val="bottom"/>
            <w:tcBorders>
              <w:top w:val="single" w:sz="8" w:color="231F20"/>
              <w:bottom w:val="single" w:sz="8" w:color="231F20"/>
            </w:tcBorders>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23,011</w:t>
            </w:r>
          </w:p>
        </w:tc>
        <w:tc>
          <w:tcPr>
            <w:tcW w:w="80" w:type="dxa"/>
            <w:vAlign w:val="bottom"/>
            <w:tcBorders>
              <w:top w:val="single" w:sz="8" w:color="EAEBEC"/>
            </w:tcBorders>
            <w:shd w:val="clear" w:color="auto" w:fill="EAEBEC"/>
          </w:tcPr>
          <w:p>
            <w:pPr>
              <w:spacing w:after="0"/>
              <w:rPr>
                <w:sz w:val="20"/>
                <w:szCs w:val="20"/>
                <w:color w:val="auto"/>
              </w:rPr>
            </w:pPr>
          </w:p>
        </w:tc>
        <w:tc>
          <w:tcPr>
            <w:tcW w:w="60" w:type="dxa"/>
            <w:vAlign w:val="bottom"/>
            <w:tcBorders>
              <w:top w:val="single" w:sz="8" w:color="231F20"/>
              <w:bottom w:val="single" w:sz="8" w:color="231F20"/>
            </w:tcBorders>
            <w:shd w:val="clear" w:color="auto" w:fill="EAEBEC"/>
          </w:tcPr>
          <w:p>
            <w:pPr>
              <w:spacing w:after="0"/>
              <w:rPr>
                <w:sz w:val="20"/>
                <w:szCs w:val="20"/>
                <w:color w:val="auto"/>
              </w:rPr>
            </w:pPr>
          </w:p>
        </w:tc>
        <w:tc>
          <w:tcPr>
            <w:tcW w:w="160" w:type="dxa"/>
            <w:vAlign w:val="bottom"/>
            <w:tcBorders>
              <w:top w:val="single" w:sz="8" w:color="231F20"/>
              <w:bottom w:val="single" w:sz="8" w:color="231F20"/>
            </w:tcBorders>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25,936</w:t>
            </w:r>
          </w:p>
        </w:tc>
        <w:tc>
          <w:tcPr>
            <w:tcW w:w="100" w:type="dxa"/>
            <w:vAlign w:val="bottom"/>
            <w:tcBorders>
              <w:top w:val="single" w:sz="8" w:color="EAEBEC"/>
            </w:tcBorders>
            <w:shd w:val="clear" w:color="auto" w:fill="EAEBE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Deferred:</w:t>
            </w:r>
          </w:p>
        </w:tc>
        <w:tc>
          <w:tcPr>
            <w:tcW w:w="1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Federal</w:t>
            </w:r>
          </w:p>
        </w:tc>
        <w:tc>
          <w:tcPr>
            <w:tcW w:w="1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16,205</w:t>
            </w:r>
          </w:p>
        </w:tc>
        <w:tc>
          <w:tcPr>
            <w:tcW w:w="80" w:type="dxa"/>
            <w:vAlign w:val="bottom"/>
            <w:shd w:val="clear" w:color="auto" w:fill="EAEBEC"/>
          </w:tcPr>
          <w:p>
            <w:pPr>
              <w:spacing w:after="0"/>
              <w:rPr>
                <w:sz w:val="21"/>
                <w:szCs w:val="21"/>
                <w:color w:val="auto"/>
              </w:rPr>
            </w:pPr>
          </w:p>
        </w:tc>
        <w:tc>
          <w:tcPr>
            <w:tcW w:w="220" w:type="dxa"/>
            <w:vAlign w:val="bottom"/>
            <w:gridSpan w:val="3"/>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(26,094)</w:t>
            </w:r>
          </w:p>
        </w:tc>
        <w:tc>
          <w:tcPr>
            <w:tcW w:w="60" w:type="dxa"/>
            <w:vAlign w:val="bottom"/>
            <w:shd w:val="clear" w:color="auto" w:fill="EAEBEC"/>
          </w:tcPr>
          <w:p>
            <w:pPr>
              <w:spacing w:after="0"/>
              <w:rPr>
                <w:sz w:val="21"/>
                <w:szCs w:val="21"/>
                <w:color w:val="auto"/>
              </w:rPr>
            </w:pPr>
          </w:p>
        </w:tc>
        <w:tc>
          <w:tcPr>
            <w:tcW w:w="16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2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(41,684)</w:t>
            </w:r>
          </w:p>
        </w:tc>
        <w:tc>
          <w:tcPr>
            <w:tcW w:w="0" w:type="dxa"/>
            <w:vAlign w:val="bottom"/>
          </w:tcPr>
          <w:p>
            <w:pPr>
              <w:spacing w:after="0"/>
              <w:rPr>
                <w:sz w:val="1"/>
                <w:szCs w:val="1"/>
                <w:color w:val="auto"/>
              </w:rPr>
            </w:pPr>
          </w:p>
        </w:tc>
      </w:tr>
      <w:tr>
        <w:trPr>
          <w:trHeight w:val="244"/>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State</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(4,398)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(11,865)</w:t>
            </w:r>
          </w:p>
        </w:tc>
        <w:tc>
          <w:tcPr>
            <w:tcW w:w="0" w:type="dxa"/>
            <w:vAlign w:val="bottom"/>
          </w:tcPr>
          <w:p>
            <w:pPr>
              <w:spacing w:after="0"/>
              <w:rPr>
                <w:sz w:val="1"/>
                <w:szCs w:val="1"/>
                <w:color w:val="auto"/>
              </w:rPr>
            </w:pPr>
          </w:p>
        </w:tc>
      </w:tr>
      <w:tr>
        <w:trPr>
          <w:trHeight w:val="244"/>
        </w:trPr>
        <w:tc>
          <w:tcPr>
            <w:tcW w:w="48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Foreign</w:t>
            </w:r>
          </w:p>
        </w:tc>
        <w:tc>
          <w:tcPr>
            <w:tcW w:w="100" w:type="dxa"/>
            <w:vAlign w:val="bottom"/>
            <w:shd w:val="clear" w:color="auto" w:fill="EAEBEC"/>
          </w:tcPr>
          <w:p>
            <w:pPr>
              <w:spacing w:after="0"/>
              <w:rPr>
                <w:sz w:val="21"/>
                <w:szCs w:val="21"/>
                <w:color w:val="auto"/>
              </w:rPr>
            </w:pPr>
          </w:p>
        </w:tc>
        <w:tc>
          <w:tcPr>
            <w:tcW w:w="10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080" w:type="dxa"/>
            <w:vAlign w:val="bottom"/>
            <w:gridSpan w:val="3"/>
            <w:shd w:val="clear" w:color="auto" w:fill="EAEBEC"/>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AEBEC"/>
          </w:tcPr>
          <w:p>
            <w:pPr>
              <w:spacing w:after="0"/>
              <w:rPr>
                <w:sz w:val="21"/>
                <w:szCs w:val="21"/>
                <w:color w:val="auto"/>
              </w:rPr>
            </w:pPr>
          </w:p>
        </w:tc>
        <w:tc>
          <w:tcPr>
            <w:tcW w:w="100" w:type="dxa"/>
            <w:vAlign w:val="bottom"/>
            <w:shd w:val="clear" w:color="auto" w:fill="EAEBEC"/>
          </w:tcPr>
          <w:p>
            <w:pPr>
              <w:spacing w:after="0"/>
              <w:rPr>
                <w:sz w:val="21"/>
                <w:szCs w:val="21"/>
                <w:color w:val="auto"/>
              </w:rPr>
            </w:pPr>
          </w:p>
        </w:tc>
        <w:tc>
          <w:tcPr>
            <w:tcW w:w="102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39"/>
        </w:trPr>
        <w:tc>
          <w:tcPr>
            <w:tcW w:w="4860" w:type="dxa"/>
            <w:vAlign w:val="bottom"/>
          </w:tcPr>
          <w:p>
            <w:pPr>
              <w:spacing w:after="0"/>
              <w:rPr>
                <w:sz w:val="20"/>
                <w:szCs w:val="20"/>
                <w:color w:val="auto"/>
              </w:rPr>
            </w:pPr>
          </w:p>
        </w:tc>
        <w:tc>
          <w:tcPr>
            <w:tcW w:w="1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17,050</w:t>
            </w:r>
          </w:p>
        </w:tc>
        <w:tc>
          <w:tcPr>
            <w:tcW w:w="8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1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(30,492)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(53,549)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60" w:type="dxa"/>
            <w:vAlign w:val="bottom"/>
            <w:tcBorders>
              <w:top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Income tax expense (benefit)</w:t>
            </w:r>
          </w:p>
        </w:tc>
        <w:tc>
          <w:tcPr>
            <w:tcW w:w="10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6,266</w:t>
            </w:r>
          </w:p>
        </w:tc>
        <w:tc>
          <w:tcPr>
            <w:tcW w:w="80" w:type="dxa"/>
            <w:vAlign w:val="bottom"/>
            <w:tcBorders>
              <w:top w:val="single" w:sz="8" w:color="EAEBEC"/>
            </w:tcBorders>
            <w:shd w:val="clear" w:color="auto" w:fill="EAEBEC"/>
          </w:tcPr>
          <w:p>
            <w:pPr>
              <w:spacing w:after="0"/>
              <w:rPr>
                <w:sz w:val="20"/>
                <w:szCs w:val="20"/>
                <w:color w:val="auto"/>
              </w:rPr>
            </w:pPr>
          </w:p>
        </w:tc>
        <w:tc>
          <w:tcPr>
            <w:tcW w:w="20" w:type="dxa"/>
            <w:vAlign w:val="bottom"/>
            <w:tcBorders>
              <w:top w:val="single" w:sz="8" w:color="EAEBEC"/>
            </w:tcBorders>
            <w:shd w:val="clear" w:color="auto" w:fill="EAEBEC"/>
          </w:tcPr>
          <w:p>
            <w:pPr>
              <w:spacing w:after="0"/>
              <w:rPr>
                <w:sz w:val="20"/>
                <w:szCs w:val="20"/>
                <w:color w:val="auto"/>
              </w:rPr>
            </w:pPr>
          </w:p>
        </w:tc>
        <w:tc>
          <w:tcPr>
            <w:tcW w:w="200" w:type="dxa"/>
            <w:vAlign w:val="bottom"/>
            <w:tcBorders>
              <w:top w:val="single" w:sz="8" w:color="231F20"/>
            </w:tcBorders>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(7,481)</w:t>
            </w:r>
          </w:p>
        </w:tc>
        <w:tc>
          <w:tcPr>
            <w:tcW w:w="80" w:type="dxa"/>
            <w:vAlign w:val="bottom"/>
            <w:tcBorders>
              <w:top w:val="single" w:sz="8" w:color="EAEBEC"/>
            </w:tcBorders>
            <w:shd w:val="clear" w:color="auto" w:fill="EAEBEC"/>
          </w:tcPr>
          <w:p>
            <w:pPr>
              <w:spacing w:after="0"/>
              <w:rPr>
                <w:sz w:val="20"/>
                <w:szCs w:val="20"/>
                <w:color w:val="auto"/>
              </w:rPr>
            </w:pPr>
          </w:p>
        </w:tc>
        <w:tc>
          <w:tcPr>
            <w:tcW w:w="60" w:type="dxa"/>
            <w:vAlign w:val="bottom"/>
            <w:tcBorders>
              <w:top w:val="single" w:sz="8" w:color="231F20"/>
            </w:tcBorders>
            <w:shd w:val="clear" w:color="auto" w:fill="EAEBEC"/>
          </w:tcPr>
          <w:p>
            <w:pPr>
              <w:spacing w:after="0"/>
              <w:rPr>
                <w:sz w:val="20"/>
                <w:szCs w:val="20"/>
                <w:color w:val="auto"/>
              </w:rPr>
            </w:pPr>
          </w:p>
        </w:tc>
        <w:tc>
          <w:tcPr>
            <w:tcW w:w="160" w:type="dxa"/>
            <w:vAlign w:val="bottom"/>
            <w:tcBorders>
              <w:top w:val="single" w:sz="8" w:color="231F20"/>
            </w:tcBorders>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(27,613</w:t>
            </w:r>
          </w:p>
        </w:tc>
        <w:tc>
          <w:tcPr>
            <w:tcW w:w="100" w:type="dxa"/>
            <w:vAlign w:val="bottom"/>
            <w:tcBorders>
              <w:top w:val="single" w:sz="8" w:color="EAEBEC"/>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89"/>
                <w:shd w:val="clear" w:color="auto" w:fill="EAEBEC"/>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-2190750</wp:posOffset>
            </wp:positionV>
            <wp:extent cx="225552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8">
                      <a:extLst>
                        <a:ext uri="{28A0092B-C50C-407E-A947-70E740481C1C}"/>
                      </a:extLst>
                    </a:blip>
                    <a:srcRect/>
                    <a:stretch>
                      <a:fillRect/>
                    </a:stretch>
                  </pic:blipFill>
                  <pic:spPr bwMode="auto">
                    <a:xfrm>
                      <a:off x="0" y="0"/>
                      <a:ext cx="2255520" cy="38100"/>
                    </a:xfrm>
                    <a:prstGeom prst="rect">
                      <a:avLst/>
                    </a:prstGeom>
                    <a:noFill/>
                  </pic:spPr>
                </pic:pic>
              </a:graphicData>
            </a:graphic>
          </wp:anchor>
        </w:drawing>
      </w:r>
    </w:p>
    <w:p>
      <w:pPr>
        <w:spacing w:after="0" w:line="321"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231F20"/>
        </w:rPr>
        <w:t>Significant components of income before income taxes as used for income tax purposes, were as follows (in thousands):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231F20"/>
              </w:rPr>
              <w:t>Fiscal years ended</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w w:val="98"/>
              </w:rPr>
              <w:t>January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231F20"/>
                <w:w w:val="98"/>
              </w:rPr>
              <w:t>February 1,</w:t>
            </w:r>
          </w:p>
        </w:tc>
        <w:tc>
          <w:tcPr>
            <w:tcW w:w="6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231F20"/>
              </w:rPr>
              <w:t>February 3,</w:t>
            </w:r>
          </w:p>
        </w:tc>
      </w:tr>
      <w:tr>
        <w:trPr>
          <w:trHeight w:val="203"/>
        </w:trPr>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100" w:type="dxa"/>
            <w:vAlign w:val="bottom"/>
          </w:tcPr>
          <w:p>
            <w:pPr>
              <w:spacing w:after="0"/>
              <w:rPr>
                <w:sz w:val="17"/>
                <w:szCs w:val="17"/>
                <w:color w:val="auto"/>
              </w:rPr>
            </w:pPr>
          </w:p>
        </w:tc>
      </w:tr>
      <w:tr>
        <w:trPr>
          <w:trHeight w:val="193"/>
        </w:trPr>
        <w:tc>
          <w:tcPr>
            <w:tcW w:w="4840" w:type="dxa"/>
            <w:vAlign w:val="bottom"/>
          </w:tcPr>
          <w:p>
            <w:pPr>
              <w:spacing w:after="0"/>
              <w:rPr>
                <w:sz w:val="16"/>
                <w:szCs w:val="16"/>
                <w:color w:val="auto"/>
              </w:rPr>
            </w:pPr>
          </w:p>
        </w:tc>
        <w:tc>
          <w:tcPr>
            <w:tcW w:w="120" w:type="dxa"/>
            <w:vAlign w:val="bottom"/>
            <w:tcBorders>
              <w:top w:val="single" w:sz="8" w:color="231F20"/>
            </w:tcBorders>
          </w:tcPr>
          <w:p>
            <w:pPr>
              <w:spacing w:after="0"/>
              <w:rPr>
                <w:sz w:val="16"/>
                <w:szCs w:val="16"/>
                <w:color w:val="auto"/>
              </w:rPr>
            </w:pPr>
          </w:p>
        </w:tc>
        <w:tc>
          <w:tcPr>
            <w:tcW w:w="940" w:type="dxa"/>
            <w:vAlign w:val="bottom"/>
            <w:tcBorders>
              <w:top w:val="single" w:sz="8" w:color="231F20"/>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231F20"/>
            </w:tcBorders>
          </w:tcPr>
          <w:p>
            <w:pPr>
              <w:spacing w:after="0"/>
              <w:rPr>
                <w:sz w:val="16"/>
                <w:szCs w:val="16"/>
                <w:color w:val="auto"/>
              </w:rPr>
            </w:pPr>
          </w:p>
        </w:tc>
        <w:tc>
          <w:tcPr>
            <w:tcW w:w="920" w:type="dxa"/>
            <w:vAlign w:val="bottom"/>
            <w:tcBorders>
              <w:top w:val="single" w:sz="8" w:color="231F20"/>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1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(53 weeks)</w:t>
            </w:r>
          </w:p>
        </w:tc>
        <w:tc>
          <w:tcPr>
            <w:tcW w:w="100" w:type="dxa"/>
            <w:vAlign w:val="bottom"/>
          </w:tcPr>
          <w:p>
            <w:pPr>
              <w:spacing w:after="0"/>
              <w:rPr>
                <w:sz w:val="16"/>
                <w:szCs w:val="16"/>
                <w:color w:val="auto"/>
              </w:rPr>
            </w:pPr>
          </w:p>
        </w:tc>
      </w:tr>
      <w:tr>
        <w:trPr>
          <w:trHeight w:val="244"/>
        </w:trPr>
        <w:tc>
          <w:tcPr>
            <w:tcW w:w="48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Domestic</w:t>
            </w: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12,570</w:t>
            </w:r>
          </w:p>
        </w:tc>
        <w:tc>
          <w:tcPr>
            <w:tcW w:w="300" w:type="dxa"/>
            <w:vAlign w:val="bottom"/>
            <w:gridSpan w:val="3"/>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0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(110,754)</w:t>
            </w:r>
          </w:p>
        </w:tc>
        <w:tc>
          <w:tcPr>
            <w:tcW w:w="60" w:type="dxa"/>
            <w:vAlign w:val="bottom"/>
            <w:shd w:val="clear" w:color="auto" w:fill="EAEBEC"/>
          </w:tcPr>
          <w:p>
            <w:pPr>
              <w:spacing w:after="0"/>
              <w:rPr>
                <w:sz w:val="21"/>
                <w:szCs w:val="21"/>
                <w:color w:val="auto"/>
              </w:rPr>
            </w:pPr>
          </w:p>
        </w:tc>
        <w:tc>
          <w:tcPr>
            <w:tcW w:w="1180" w:type="dxa"/>
            <w:vAlign w:val="bottom"/>
            <w:gridSpan w:val="3"/>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 (1,296,819)</w:t>
            </w:r>
          </w:p>
        </w:tc>
      </w:tr>
      <w:tr>
        <w:trPr>
          <w:trHeight w:val="244"/>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231F20"/>
              </w:rPr>
              <w:t>Foreign</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1,457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(11,004)</w:t>
            </w:r>
          </w:p>
        </w:tc>
      </w:tr>
      <w:tr>
        <w:trPr>
          <w:trHeight w:val="239"/>
        </w:trPr>
        <w:tc>
          <w:tcPr>
            <w:tcW w:w="4840" w:type="dxa"/>
            <w:vAlign w:val="bottom"/>
            <w:tcBorders>
              <w:top w:val="single" w:sz="8" w:color="EAEBEC"/>
            </w:tcBorders>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Income (loss) before income taxes</w:t>
            </w:r>
          </w:p>
        </w:tc>
        <w:tc>
          <w:tcPr>
            <w:tcW w:w="12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94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15,332</w:t>
            </w:r>
          </w:p>
        </w:tc>
        <w:tc>
          <w:tcPr>
            <w:tcW w:w="80" w:type="dxa"/>
            <w:vAlign w:val="bottom"/>
            <w:tcBorders>
              <w:top w:val="single" w:sz="8" w:color="EAEBEC"/>
            </w:tcBorders>
            <w:shd w:val="clear" w:color="auto" w:fill="EAEBEC"/>
          </w:tcPr>
          <w:p>
            <w:pPr>
              <w:spacing w:after="0"/>
              <w:rPr>
                <w:sz w:val="20"/>
                <w:szCs w:val="20"/>
                <w:color w:val="auto"/>
              </w:rPr>
            </w:pPr>
          </w:p>
        </w:tc>
        <w:tc>
          <w:tcPr>
            <w:tcW w:w="220" w:type="dxa"/>
            <w:vAlign w:val="bottom"/>
            <w:tcBorders>
              <w:top w:val="single" w:sz="8" w:color="231F20"/>
              <w:bottom w:val="single" w:sz="8" w:color="231F20"/>
            </w:tcBorders>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92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(109,297)</w:t>
            </w:r>
          </w:p>
        </w:tc>
        <w:tc>
          <w:tcPr>
            <w:tcW w:w="80" w:type="dxa"/>
            <w:vAlign w:val="bottom"/>
            <w:tcBorders>
              <w:top w:val="single" w:sz="8" w:color="EAEBEC"/>
            </w:tcBorders>
            <w:shd w:val="clear" w:color="auto" w:fill="EAEBEC"/>
          </w:tcPr>
          <w:p>
            <w:pPr>
              <w:spacing w:after="0"/>
              <w:rPr>
                <w:sz w:val="20"/>
                <w:szCs w:val="20"/>
                <w:color w:val="auto"/>
              </w:rPr>
            </w:pPr>
          </w:p>
        </w:tc>
        <w:tc>
          <w:tcPr>
            <w:tcW w:w="60" w:type="dxa"/>
            <w:vAlign w:val="bottom"/>
            <w:tcBorders>
              <w:top w:val="single" w:sz="8" w:color="231F20"/>
              <w:bottom w:val="single" w:sz="8" w:color="231F20"/>
            </w:tcBorders>
            <w:shd w:val="clear" w:color="auto" w:fill="EAEBEC"/>
          </w:tcPr>
          <w:p>
            <w:pPr>
              <w:spacing w:after="0"/>
              <w:rPr>
                <w:sz w:val="20"/>
                <w:szCs w:val="20"/>
                <w:color w:val="auto"/>
              </w:rPr>
            </w:pPr>
          </w:p>
        </w:tc>
        <w:tc>
          <w:tcPr>
            <w:tcW w:w="1080" w:type="dxa"/>
            <w:vAlign w:val="bottom"/>
            <w:tcBorders>
              <w:top w:val="single" w:sz="8" w:color="231F20"/>
              <w:bottom w:val="single" w:sz="8" w:color="231F20"/>
            </w:tcBorders>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97"/>
              </w:rPr>
              <w:t>$ (1,307,823)</w:t>
            </w:r>
          </w:p>
        </w:tc>
        <w:tc>
          <w:tcPr>
            <w:tcW w:w="100" w:type="dxa"/>
            <w:vAlign w:val="bottom"/>
            <w:tcBorders>
              <w:top w:val="single" w:sz="8" w:color="EAEBEC"/>
            </w:tcBorders>
            <w:shd w:val="clear" w:color="auto" w:fill="EAEBEC"/>
          </w:tcPr>
          <w:p>
            <w:pPr>
              <w:spacing w:after="0"/>
              <w:rPr>
                <w:sz w:val="20"/>
                <w:szCs w:val="20"/>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-903605</wp:posOffset>
            </wp:positionV>
            <wp:extent cx="226123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9">
                      <a:extLst>
                        <a:ext uri="{28A0092B-C50C-407E-A947-70E740481C1C}"/>
                      </a:extLst>
                    </a:blip>
                    <a:srcRect/>
                    <a:stretch>
                      <a:fillRect/>
                    </a:stretch>
                  </pic:blipFill>
                  <pic:spPr bwMode="auto">
                    <a:xfrm>
                      <a:off x="0" y="0"/>
                      <a:ext cx="2261235" cy="38100"/>
                    </a:xfrm>
                    <a:prstGeom prst="rect">
                      <a:avLst/>
                    </a:prstGeom>
                    <a:noFill/>
                  </pic:spPr>
                </pic:pic>
              </a:graphicData>
            </a:graphic>
          </wp:anchor>
        </w:drawing>
      </w:r>
    </w:p>
    <w:p>
      <w:pPr>
        <w:sectPr>
          <w:pgSz w:w="11880" w:h="15480" w:orient="portrait"/>
          <w:cols w:equalWidth="0" w:num="1">
            <w:col w:w="9320"/>
          </w:cols>
          <w:pgMar w:left="1260" w:top="1240"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231F20"/>
        </w:rPr>
        <w:t>92</w:t>
      </w:r>
    </w:p>
    <w:p>
      <w:pPr>
        <w:sectPr>
          <w:pgSz w:w="11880" w:h="15480" w:orient="portrait"/>
          <w:cols w:equalWidth="0" w:num="1">
            <w:col w:w="9320"/>
          </w:cols>
          <w:pgMar w:left="1260" w:top="1240" w:right="1300" w:bottom="0" w:gutter="0" w:footer="0" w:header="0"/>
          <w:type w:val="continuous"/>
        </w:sectPr>
      </w:pPr>
    </w:p>
    <w:bookmarkStart w:id="102" w:name="page103"/>
    <w:bookmarkEnd w:id="102"/>
    <w:p>
      <w:pPr>
        <w:ind w:right="180" w:firstLine="490"/>
        <w:spacing w:after="0" w:line="277" w:lineRule="auto"/>
        <w:rPr>
          <w:sz w:val="20"/>
          <w:szCs w:val="20"/>
          <w:color w:val="auto"/>
        </w:rPr>
      </w:pPr>
      <w:r>
        <w:rPr>
          <w:rFonts w:ascii="Times New Roman" w:cs="Times New Roman" w:eastAsia="Times New Roman" w:hAnsi="Times New Roman"/>
          <w:sz w:val="20"/>
          <w:szCs w:val="20"/>
          <w:color w:val="231F20"/>
        </w:rPr>
        <w:t>A summary of total income taxes paid, net of refunds, in accordance with the adoption of ASU 2023-09 for the fiscal year 2025 is as follows (in thousands):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231F20"/>
              </w:rPr>
              <w:t>Fiscal year ended</w:t>
            </w:r>
          </w:p>
        </w:tc>
      </w:tr>
      <w:tr>
        <w:trPr>
          <w:trHeight w:val="174"/>
        </w:trPr>
        <w:tc>
          <w:tcPr>
            <w:tcW w:w="6880" w:type="dxa"/>
            <w:vAlign w:val="bottom"/>
          </w:tcPr>
          <w:p>
            <w:pPr>
              <w:spacing w:after="0"/>
              <w:rPr>
                <w:sz w:val="15"/>
                <w:szCs w:val="15"/>
                <w:color w:val="auto"/>
              </w:rPr>
            </w:pPr>
          </w:p>
        </w:tc>
        <w:tc>
          <w:tcPr>
            <w:tcW w:w="120" w:type="dxa"/>
            <w:vAlign w:val="bottom"/>
            <w:tcBorders>
              <w:top w:val="single" w:sz="8" w:color="231F20"/>
            </w:tcBorders>
          </w:tcPr>
          <w:p>
            <w:pPr>
              <w:spacing w:after="0"/>
              <w:rPr>
                <w:sz w:val="15"/>
                <w:szCs w:val="15"/>
                <w:color w:val="auto"/>
              </w:rPr>
            </w:pPr>
          </w:p>
        </w:tc>
        <w:tc>
          <w:tcPr>
            <w:tcW w:w="1360" w:type="dxa"/>
            <w:vAlign w:val="bottom"/>
            <w:tcBorders>
              <w:top w:val="single" w:sz="8" w:color="231F20"/>
            </w:tcBorders>
          </w:tcPr>
          <w:p>
            <w:pPr>
              <w:jc w:val="center"/>
              <w:ind w:right="30"/>
              <w:spacing w:after="0" w:line="174" w:lineRule="exact"/>
              <w:rPr>
                <w:sz w:val="20"/>
                <w:szCs w:val="20"/>
                <w:color w:val="auto"/>
              </w:rPr>
            </w:pPr>
            <w:r>
              <w:rPr>
                <w:rFonts w:ascii="Times New Roman" w:cs="Times New Roman" w:eastAsia="Times New Roman" w:hAnsi="Times New Roman"/>
                <w:sz w:val="16"/>
                <w:szCs w:val="16"/>
                <w:b w:val="1"/>
                <w:bCs w:val="1"/>
                <w:color w:val="231F20"/>
                <w:w w:val="98"/>
              </w:rPr>
              <w:t>January 31,</w:t>
            </w:r>
          </w:p>
        </w:tc>
        <w:tc>
          <w:tcPr>
            <w:tcW w:w="80" w:type="dxa"/>
            <w:vAlign w:val="bottom"/>
          </w:tcPr>
          <w:p>
            <w:pPr>
              <w:spacing w:after="0"/>
              <w:rPr>
                <w:sz w:val="15"/>
                <w:szCs w:val="15"/>
                <w:color w:val="auto"/>
              </w:rPr>
            </w:pPr>
          </w:p>
        </w:tc>
      </w:tr>
      <w:tr>
        <w:trPr>
          <w:trHeight w:val="203"/>
        </w:trPr>
        <w:tc>
          <w:tcPr>
            <w:tcW w:w="6880" w:type="dxa"/>
            <w:vAlign w:val="bottom"/>
          </w:tcPr>
          <w:p>
            <w:pPr>
              <w:spacing w:after="0"/>
              <w:rPr>
                <w:sz w:val="17"/>
                <w:szCs w:val="17"/>
                <w:color w:val="auto"/>
              </w:rPr>
            </w:pPr>
          </w:p>
        </w:tc>
        <w:tc>
          <w:tcPr>
            <w:tcW w:w="120" w:type="dxa"/>
            <w:vAlign w:val="bottom"/>
            <w:tcBorders>
              <w:bottom w:val="single" w:sz="8" w:color="231F20"/>
            </w:tcBorders>
          </w:tcPr>
          <w:p>
            <w:pPr>
              <w:spacing w:after="0"/>
              <w:rPr>
                <w:sz w:val="17"/>
                <w:szCs w:val="17"/>
                <w:color w:val="auto"/>
              </w:rPr>
            </w:pPr>
          </w:p>
        </w:tc>
        <w:tc>
          <w:tcPr>
            <w:tcW w:w="1360" w:type="dxa"/>
            <w:vAlign w:val="bottom"/>
            <w:tcBorders>
              <w:bottom w:val="single" w:sz="8" w:color="231F20"/>
            </w:tcBorders>
          </w:tcPr>
          <w:p>
            <w:pPr>
              <w:jc w:val="center"/>
              <w:ind w:right="30"/>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80" w:type="dxa"/>
            <w:vAlign w:val="bottom"/>
          </w:tcPr>
          <w:p>
            <w:pPr>
              <w:spacing w:after="0"/>
              <w:rPr>
                <w:sz w:val="17"/>
                <w:szCs w:val="17"/>
                <w:color w:val="auto"/>
              </w:rPr>
            </w:pPr>
          </w:p>
        </w:tc>
      </w:tr>
      <w:tr>
        <w:trPr>
          <w:trHeight w:val="193"/>
        </w:trPr>
        <w:tc>
          <w:tcPr>
            <w:tcW w:w="6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80" w:type="dxa"/>
            <w:vAlign w:val="bottom"/>
          </w:tcPr>
          <w:p>
            <w:pPr>
              <w:spacing w:after="0"/>
              <w:rPr>
                <w:sz w:val="16"/>
                <w:szCs w:val="16"/>
                <w:color w:val="auto"/>
              </w:rPr>
            </w:pPr>
          </w:p>
        </w:tc>
      </w:tr>
      <w:tr>
        <w:trPr>
          <w:trHeight w:val="244"/>
        </w:trPr>
        <w:tc>
          <w:tcPr>
            <w:tcW w:w="68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Federal</w:t>
            </w:r>
          </w:p>
        </w:tc>
        <w:tc>
          <w:tcPr>
            <w:tcW w:w="12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196</w:t>
            </w:r>
          </w:p>
        </w:tc>
        <w:tc>
          <w:tcPr>
            <w:tcW w:w="80" w:type="dxa"/>
            <w:vAlign w:val="bottom"/>
            <w:shd w:val="clear" w:color="auto" w:fill="EAEBEC"/>
          </w:tcPr>
          <w:p>
            <w:pPr>
              <w:spacing w:after="0"/>
              <w:rPr>
                <w:sz w:val="21"/>
                <w:szCs w:val="21"/>
                <w:color w:val="auto"/>
              </w:rPr>
            </w:pPr>
          </w:p>
        </w:tc>
      </w:tr>
      <w:tr>
        <w:trPr>
          <w:trHeight w:val="244"/>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231F20"/>
              </w:rPr>
              <w:t>State and local</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3,318</w:t>
            </w:r>
          </w:p>
        </w:tc>
        <w:tc>
          <w:tcPr>
            <w:tcW w:w="80" w:type="dxa"/>
            <w:vAlign w:val="bottom"/>
          </w:tcPr>
          <w:p>
            <w:pPr>
              <w:spacing w:after="0"/>
              <w:rPr>
                <w:sz w:val="21"/>
                <w:szCs w:val="21"/>
                <w:color w:val="auto"/>
              </w:rPr>
            </w:pPr>
          </w:p>
        </w:tc>
      </w:tr>
      <w:tr>
        <w:trPr>
          <w:trHeight w:val="244"/>
        </w:trPr>
        <w:tc>
          <w:tcPr>
            <w:tcW w:w="68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Foreign</w:t>
            </w:r>
          </w:p>
        </w:tc>
        <w:tc>
          <w:tcPr>
            <w:tcW w:w="120" w:type="dxa"/>
            <w:vAlign w:val="bottom"/>
            <w:tcBorders>
              <w:bottom w:val="single" w:sz="8" w:color="231F20"/>
            </w:tcBorders>
            <w:shd w:val="clear" w:color="auto" w:fill="EAEBEC"/>
          </w:tcPr>
          <w:p>
            <w:pPr>
              <w:spacing w:after="0"/>
              <w:rPr>
                <w:sz w:val="21"/>
                <w:szCs w:val="21"/>
                <w:color w:val="auto"/>
              </w:rPr>
            </w:pPr>
          </w:p>
        </w:tc>
        <w:tc>
          <w:tcPr>
            <w:tcW w:w="13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2,319</w:t>
            </w:r>
          </w:p>
        </w:tc>
        <w:tc>
          <w:tcPr>
            <w:tcW w:w="80" w:type="dxa"/>
            <w:vAlign w:val="bottom"/>
            <w:shd w:val="clear" w:color="auto" w:fill="EAEBEC"/>
          </w:tcPr>
          <w:p>
            <w:pPr>
              <w:spacing w:after="0"/>
              <w:rPr>
                <w:sz w:val="21"/>
                <w:szCs w:val="21"/>
                <w:color w:val="auto"/>
              </w:rPr>
            </w:pPr>
          </w:p>
        </w:tc>
      </w:tr>
      <w:tr>
        <w:trPr>
          <w:trHeight w:val="239"/>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Total</w:t>
            </w:r>
          </w:p>
        </w:tc>
        <w:tc>
          <w:tcPr>
            <w:tcW w:w="1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3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5,833</w:t>
            </w:r>
          </w:p>
        </w:tc>
        <w:tc>
          <w:tcPr>
            <w:tcW w:w="80" w:type="dxa"/>
            <w:vAlign w:val="bottom"/>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231F20"/>
        </w:rPr>
        <w:t>Individual jurisdictions comprising greater than 5% of total income taxes paid, net of refunds, for the fiscal year 2025 include Mexico, Puerto Rico, Texas and Oregon, for $2.1 million, $1.4 million, $0.9 million and $0.7 million, respectively. Cash paid for income taxes was $34.8 million and $32.2 million in fiscal 2024 and fiscal 2023, respectively.</w:t>
      </w:r>
    </w:p>
    <w:p>
      <w:pPr>
        <w:spacing w:after="0" w:line="184" w:lineRule="exact"/>
        <w:rPr>
          <w:sz w:val="20"/>
          <w:szCs w:val="20"/>
          <w:color w:val="auto"/>
        </w:rPr>
      </w:pPr>
    </w:p>
    <w:p>
      <w:pPr>
        <w:ind w:right="120" w:firstLine="720"/>
        <w:spacing w:after="0" w:line="277" w:lineRule="auto"/>
        <w:rPr>
          <w:sz w:val="20"/>
          <w:szCs w:val="20"/>
          <w:color w:val="auto"/>
        </w:rPr>
      </w:pPr>
      <w:r>
        <w:rPr>
          <w:rFonts w:ascii="Times New Roman" w:cs="Times New Roman" w:eastAsia="Times New Roman" w:hAnsi="Times New Roman"/>
          <w:sz w:val="20"/>
          <w:szCs w:val="20"/>
          <w:color w:val="231F20"/>
        </w:rPr>
        <w:t>A reconciliation of income tax expense at the federal statutory rate with the provision for income taxes in accordance with the adoption of ASU 2023-09 is as follows (in thousands):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360" w:type="dxa"/>
            <w:vAlign w:val="bottom"/>
            <w:tcBorders>
              <w:bottom w:val="single" w:sz="8" w:color="231F20"/>
            </w:tcBorders>
          </w:tcPr>
          <w:p>
            <w:pPr>
              <w:spacing w:after="0"/>
              <w:rPr>
                <w:sz w:val="17"/>
                <w:szCs w:val="17"/>
                <w:color w:val="auto"/>
              </w:rPr>
            </w:pPr>
          </w:p>
        </w:tc>
        <w:tc>
          <w:tcPr>
            <w:tcW w:w="1640" w:type="dxa"/>
            <w:vAlign w:val="bottom"/>
            <w:tcBorders>
              <w:bottom w:val="single" w:sz="8" w:color="231F20"/>
            </w:tcBorders>
            <w:gridSpan w:val="3"/>
          </w:tcPr>
          <w:p>
            <w:pPr>
              <w:jc w:val="center"/>
              <w:ind w:left="64"/>
              <w:spacing w:after="0"/>
              <w:rPr>
                <w:sz w:val="20"/>
                <w:szCs w:val="20"/>
                <w:color w:val="auto"/>
              </w:rPr>
            </w:pPr>
            <w:r>
              <w:rPr>
                <w:rFonts w:ascii="Times New Roman" w:cs="Times New Roman" w:eastAsia="Times New Roman" w:hAnsi="Times New Roman"/>
                <w:sz w:val="16"/>
                <w:szCs w:val="16"/>
                <w:b w:val="1"/>
                <w:bCs w:val="1"/>
                <w:color w:val="231F20"/>
                <w:w w:val="98"/>
              </w:rPr>
              <w:t>Fiscal years ended</w:t>
            </w:r>
          </w:p>
        </w:tc>
        <w:tc>
          <w:tcPr>
            <w:tcW w:w="540" w:type="dxa"/>
            <w:vAlign w:val="bottom"/>
            <w:tcBorders>
              <w:bottom w:val="single" w:sz="8" w:color="231F20"/>
            </w:tcBorders>
          </w:tcPr>
          <w:p>
            <w:pPr>
              <w:spacing w:after="0"/>
              <w:rPr>
                <w:sz w:val="17"/>
                <w:szCs w:val="17"/>
                <w:color w:val="auto"/>
              </w:rPr>
            </w:pPr>
          </w:p>
        </w:tc>
        <w:tc>
          <w:tcPr>
            <w:tcW w:w="220" w:type="dxa"/>
            <w:vAlign w:val="bottom"/>
          </w:tcPr>
          <w:p>
            <w:pPr>
              <w:spacing w:after="0"/>
              <w:rPr>
                <w:sz w:val="17"/>
                <w:szCs w:val="17"/>
                <w:color w:val="auto"/>
              </w:rPr>
            </w:pPr>
          </w:p>
        </w:tc>
      </w:tr>
      <w:tr>
        <w:trPr>
          <w:trHeight w:val="193"/>
        </w:trPr>
        <w:tc>
          <w:tcPr>
            <w:tcW w:w="5680" w:type="dxa"/>
            <w:vAlign w:val="bottom"/>
          </w:tcPr>
          <w:p>
            <w:pPr>
              <w:spacing w:after="0"/>
              <w:rPr>
                <w:sz w:val="16"/>
                <w:szCs w:val="16"/>
                <w:color w:val="auto"/>
              </w:rPr>
            </w:pPr>
          </w:p>
        </w:tc>
        <w:tc>
          <w:tcPr>
            <w:tcW w:w="360" w:type="dxa"/>
            <w:vAlign w:val="bottom"/>
            <w:tcBorders>
              <w:bottom w:val="single" w:sz="8" w:color="231F20"/>
            </w:tcBorders>
          </w:tcPr>
          <w:p>
            <w:pPr>
              <w:spacing w:after="0"/>
              <w:rPr>
                <w:sz w:val="16"/>
                <w:szCs w:val="16"/>
                <w:color w:val="auto"/>
              </w:rPr>
            </w:pPr>
          </w:p>
        </w:tc>
        <w:tc>
          <w:tcPr>
            <w:tcW w:w="1640" w:type="dxa"/>
            <w:vAlign w:val="bottom"/>
            <w:tcBorders>
              <w:bottom w:val="single" w:sz="8" w:color="231F20"/>
            </w:tcBorders>
            <w:gridSpan w:val="3"/>
          </w:tcPr>
          <w:p>
            <w:pPr>
              <w:jc w:val="center"/>
              <w:ind w:left="64"/>
              <w:spacing w:after="0"/>
              <w:rPr>
                <w:sz w:val="20"/>
                <w:szCs w:val="20"/>
                <w:color w:val="auto"/>
              </w:rPr>
            </w:pPr>
            <w:r>
              <w:rPr>
                <w:rFonts w:ascii="Times New Roman" w:cs="Times New Roman" w:eastAsia="Times New Roman" w:hAnsi="Times New Roman"/>
                <w:sz w:val="16"/>
                <w:szCs w:val="16"/>
                <w:b w:val="1"/>
                <w:bCs w:val="1"/>
                <w:color w:val="231F20"/>
                <w:w w:val="99"/>
              </w:rPr>
              <w:t>January 31, 2026</w:t>
            </w:r>
          </w:p>
        </w:tc>
        <w:tc>
          <w:tcPr>
            <w:tcW w:w="540" w:type="dxa"/>
            <w:vAlign w:val="bottom"/>
            <w:tcBorders>
              <w:bottom w:val="single" w:sz="8" w:color="231F20"/>
            </w:tcBorders>
          </w:tcPr>
          <w:p>
            <w:pPr>
              <w:spacing w:after="0"/>
              <w:rPr>
                <w:sz w:val="16"/>
                <w:szCs w:val="16"/>
                <w:color w:val="auto"/>
              </w:rPr>
            </w:pPr>
          </w:p>
        </w:tc>
        <w:tc>
          <w:tcPr>
            <w:tcW w:w="220" w:type="dxa"/>
            <w:vAlign w:val="bottom"/>
          </w:tcPr>
          <w:p>
            <w:pPr>
              <w:spacing w:after="0"/>
              <w:rPr>
                <w:sz w:val="16"/>
                <w:szCs w:val="16"/>
                <w:color w:val="auto"/>
              </w:rPr>
            </w:pPr>
          </w:p>
        </w:tc>
      </w:tr>
      <w:tr>
        <w:trPr>
          <w:trHeight w:val="193"/>
        </w:trPr>
        <w:tc>
          <w:tcPr>
            <w:tcW w:w="5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3"/>
          </w:tcPr>
          <w:p>
            <w:pPr>
              <w:jc w:val="center"/>
              <w:ind w:left="64"/>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44"/>
        </w:trPr>
        <w:tc>
          <w:tcPr>
            <w:tcW w:w="56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Statutory federal income tax rate</w:t>
            </w:r>
          </w:p>
        </w:tc>
        <w:tc>
          <w:tcPr>
            <w:tcW w:w="360" w:type="dxa"/>
            <w:vAlign w:val="bottom"/>
            <w:shd w:val="clear" w:color="auto" w:fill="EAEBEC"/>
          </w:tcPr>
          <w:p>
            <w:pPr>
              <w:spacing w:after="0"/>
              <w:rPr>
                <w:sz w:val="21"/>
                <w:szCs w:val="21"/>
                <w:color w:val="auto"/>
              </w:rPr>
            </w:pPr>
          </w:p>
        </w:tc>
        <w:tc>
          <w:tcPr>
            <w:tcW w:w="8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3,220</w:t>
            </w:r>
          </w:p>
        </w:tc>
        <w:tc>
          <w:tcPr>
            <w:tcW w:w="220" w:type="dxa"/>
            <w:vAlign w:val="bottom"/>
            <w:shd w:val="clear" w:color="auto" w:fill="EAEBEC"/>
          </w:tcPr>
          <w:p>
            <w:pPr>
              <w:spacing w:after="0"/>
              <w:rPr>
                <w:sz w:val="21"/>
                <w:szCs w:val="21"/>
                <w:color w:val="auto"/>
              </w:rPr>
            </w:pPr>
          </w:p>
        </w:tc>
        <w:tc>
          <w:tcPr>
            <w:tcW w:w="580" w:type="dxa"/>
            <w:vAlign w:val="bottom"/>
            <w:shd w:val="clear" w:color="auto" w:fill="EAEBEC"/>
          </w:tcPr>
          <w:p>
            <w:pPr>
              <w:spacing w:after="0"/>
              <w:rPr>
                <w:sz w:val="21"/>
                <w:szCs w:val="21"/>
                <w:color w:val="auto"/>
              </w:rPr>
            </w:pPr>
          </w:p>
        </w:tc>
        <w:tc>
          <w:tcPr>
            <w:tcW w:w="760" w:type="dxa"/>
            <w:vAlign w:val="bottom"/>
            <w:gridSpan w:val="2"/>
            <w:shd w:val="clear" w:color="auto" w:fill="EAEBEC"/>
          </w:tcPr>
          <w:p>
            <w:pPr>
              <w:jc w:val="right"/>
              <w:ind w:right="60"/>
              <w:spacing w:after="0"/>
              <w:rPr>
                <w:sz w:val="20"/>
                <w:szCs w:val="20"/>
                <w:color w:val="auto"/>
              </w:rPr>
            </w:pPr>
            <w:r>
              <w:rPr>
                <w:rFonts w:ascii="Times New Roman" w:cs="Times New Roman" w:eastAsia="Times New Roman" w:hAnsi="Times New Roman"/>
                <w:sz w:val="20"/>
                <w:szCs w:val="20"/>
                <w:color w:val="231F20"/>
              </w:rPr>
              <w:t>21.0%</w:t>
            </w:r>
          </w:p>
        </w:tc>
      </w:tr>
      <w:tr>
        <w:trPr>
          <w:trHeight w:val="244"/>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231F20"/>
              </w:rPr>
              <w:t>Effect of:</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4"/>
        </w:trPr>
        <w:tc>
          <w:tcPr>
            <w:tcW w:w="568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State and local income taxes (1)</w:t>
            </w:r>
          </w:p>
        </w:tc>
        <w:tc>
          <w:tcPr>
            <w:tcW w:w="360" w:type="dxa"/>
            <w:vAlign w:val="bottom"/>
            <w:shd w:val="clear" w:color="auto" w:fill="EAEBEC"/>
          </w:tcPr>
          <w:p>
            <w:pPr>
              <w:spacing w:after="0"/>
              <w:rPr>
                <w:sz w:val="21"/>
                <w:szCs w:val="21"/>
                <w:color w:val="auto"/>
              </w:rPr>
            </w:pPr>
          </w:p>
        </w:tc>
        <w:tc>
          <w:tcPr>
            <w:tcW w:w="1060" w:type="dxa"/>
            <w:vAlign w:val="bottom"/>
            <w:gridSpan w:val="2"/>
            <w:shd w:val="clear" w:color="auto" w:fill="EAEBEC"/>
          </w:tcPr>
          <w:p>
            <w:pPr>
              <w:jc w:val="right"/>
              <w:ind w:right="160"/>
              <w:spacing w:after="0"/>
              <w:rPr>
                <w:sz w:val="20"/>
                <w:szCs w:val="20"/>
                <w:color w:val="auto"/>
              </w:rPr>
            </w:pPr>
            <w:r>
              <w:rPr>
                <w:rFonts w:ascii="Times New Roman" w:cs="Times New Roman" w:eastAsia="Times New Roman" w:hAnsi="Times New Roman"/>
                <w:sz w:val="20"/>
                <w:szCs w:val="20"/>
                <w:color w:val="231F20"/>
              </w:rPr>
              <w:t>(2,601)</w:t>
            </w:r>
          </w:p>
        </w:tc>
        <w:tc>
          <w:tcPr>
            <w:tcW w:w="580" w:type="dxa"/>
            <w:vAlign w:val="bottom"/>
            <w:shd w:val="clear" w:color="auto" w:fill="EAEBEC"/>
          </w:tcPr>
          <w:p>
            <w:pPr>
              <w:spacing w:after="0"/>
              <w:rPr>
                <w:sz w:val="21"/>
                <w:szCs w:val="21"/>
                <w:color w:val="auto"/>
              </w:rPr>
            </w:pPr>
          </w:p>
        </w:tc>
        <w:tc>
          <w:tcPr>
            <w:tcW w:w="760" w:type="dxa"/>
            <w:vAlign w:val="bottom"/>
            <w:gridSpan w:val="2"/>
            <w:shd w:val="clear" w:color="auto" w:fill="EAEBEC"/>
          </w:tcPr>
          <w:p>
            <w:pPr>
              <w:jc w:val="right"/>
              <w:ind w:right="160"/>
              <w:spacing w:after="0"/>
              <w:rPr>
                <w:sz w:val="20"/>
                <w:szCs w:val="20"/>
                <w:color w:val="auto"/>
              </w:rPr>
            </w:pPr>
            <w:r>
              <w:rPr>
                <w:rFonts w:ascii="Times New Roman" w:cs="Times New Roman" w:eastAsia="Times New Roman" w:hAnsi="Times New Roman"/>
                <w:sz w:val="20"/>
                <w:szCs w:val="20"/>
                <w:color w:val="231F20"/>
              </w:rPr>
              <w:t>(17.0)</w:t>
            </w:r>
          </w:p>
        </w:tc>
      </w:tr>
      <w:tr>
        <w:trPr>
          <w:trHeight w:val="244"/>
        </w:trPr>
        <w:tc>
          <w:tcPr>
            <w:tcW w:w="56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Foreign tax effects</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1,352</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w:t>
            </w:r>
          </w:p>
        </w:tc>
        <w:tc>
          <w:tcPr>
            <w:tcW w:w="220" w:type="dxa"/>
            <w:vAlign w:val="bottom"/>
          </w:tcPr>
          <w:p>
            <w:pPr>
              <w:spacing w:after="0"/>
              <w:rPr>
                <w:sz w:val="21"/>
                <w:szCs w:val="21"/>
                <w:color w:val="auto"/>
              </w:rPr>
            </w:pPr>
          </w:p>
        </w:tc>
      </w:tr>
      <w:tr>
        <w:trPr>
          <w:trHeight w:val="244"/>
        </w:trPr>
        <w:tc>
          <w:tcPr>
            <w:tcW w:w="568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Effect of cross border tax law</w:t>
            </w:r>
          </w:p>
        </w:tc>
        <w:tc>
          <w:tcPr>
            <w:tcW w:w="360" w:type="dxa"/>
            <w:vAlign w:val="bottom"/>
            <w:shd w:val="clear" w:color="auto" w:fill="EAEBEC"/>
          </w:tcPr>
          <w:p>
            <w:pPr>
              <w:spacing w:after="0"/>
              <w:rPr>
                <w:sz w:val="21"/>
                <w:szCs w:val="21"/>
                <w:color w:val="auto"/>
              </w:rPr>
            </w:pPr>
          </w:p>
        </w:tc>
        <w:tc>
          <w:tcPr>
            <w:tcW w:w="8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341</w:t>
            </w:r>
          </w:p>
        </w:tc>
        <w:tc>
          <w:tcPr>
            <w:tcW w:w="220" w:type="dxa"/>
            <w:vAlign w:val="bottom"/>
            <w:shd w:val="clear" w:color="auto" w:fill="EAEBEC"/>
          </w:tcPr>
          <w:p>
            <w:pPr>
              <w:spacing w:after="0"/>
              <w:rPr>
                <w:sz w:val="21"/>
                <w:szCs w:val="21"/>
                <w:color w:val="auto"/>
              </w:rPr>
            </w:pPr>
          </w:p>
        </w:tc>
        <w:tc>
          <w:tcPr>
            <w:tcW w:w="580" w:type="dxa"/>
            <w:vAlign w:val="bottom"/>
            <w:shd w:val="clear" w:color="auto" w:fill="EAEBEC"/>
          </w:tcPr>
          <w:p>
            <w:pPr>
              <w:spacing w:after="0"/>
              <w:rPr>
                <w:sz w:val="21"/>
                <w:szCs w:val="21"/>
                <w:color w:val="auto"/>
              </w:rPr>
            </w:pPr>
          </w:p>
        </w:tc>
        <w:tc>
          <w:tcPr>
            <w:tcW w:w="5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2.2</w:t>
            </w:r>
          </w:p>
        </w:tc>
        <w:tc>
          <w:tcPr>
            <w:tcW w:w="220" w:type="dxa"/>
            <w:vAlign w:val="bottom"/>
            <w:shd w:val="clear" w:color="auto" w:fill="EAEBEC"/>
          </w:tcPr>
          <w:p>
            <w:pPr>
              <w:spacing w:after="0"/>
              <w:rPr>
                <w:sz w:val="21"/>
                <w:szCs w:val="21"/>
                <w:color w:val="auto"/>
              </w:rPr>
            </w:pPr>
          </w:p>
        </w:tc>
      </w:tr>
      <w:tr>
        <w:trPr>
          <w:trHeight w:val="244"/>
        </w:trPr>
        <w:tc>
          <w:tcPr>
            <w:tcW w:w="56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Tax credits</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4"/>
        </w:trPr>
        <w:tc>
          <w:tcPr>
            <w:tcW w:w="5680" w:type="dxa"/>
            <w:vAlign w:val="bottom"/>
            <w:shd w:val="clear" w:color="auto" w:fill="EAEBEC"/>
          </w:tcPr>
          <w:p>
            <w:pPr>
              <w:ind w:left="400"/>
              <w:spacing w:after="0"/>
              <w:rPr>
                <w:sz w:val="20"/>
                <w:szCs w:val="20"/>
                <w:color w:val="auto"/>
              </w:rPr>
            </w:pPr>
            <w:r>
              <w:rPr>
                <w:rFonts w:ascii="Times New Roman" w:cs="Times New Roman" w:eastAsia="Times New Roman" w:hAnsi="Times New Roman"/>
                <w:sz w:val="20"/>
                <w:szCs w:val="20"/>
                <w:color w:val="231F20"/>
              </w:rPr>
              <w:t>Work opportunity tax credits</w:t>
            </w:r>
          </w:p>
        </w:tc>
        <w:tc>
          <w:tcPr>
            <w:tcW w:w="360" w:type="dxa"/>
            <w:vAlign w:val="bottom"/>
            <w:shd w:val="clear" w:color="auto" w:fill="EAEBEC"/>
          </w:tcPr>
          <w:p>
            <w:pPr>
              <w:spacing w:after="0"/>
              <w:rPr>
                <w:sz w:val="21"/>
                <w:szCs w:val="21"/>
                <w:color w:val="auto"/>
              </w:rPr>
            </w:pPr>
          </w:p>
        </w:tc>
        <w:tc>
          <w:tcPr>
            <w:tcW w:w="1060" w:type="dxa"/>
            <w:vAlign w:val="bottom"/>
            <w:gridSpan w:val="2"/>
            <w:shd w:val="clear" w:color="auto" w:fill="EAEBEC"/>
          </w:tcPr>
          <w:p>
            <w:pPr>
              <w:jc w:val="right"/>
              <w:ind w:right="160"/>
              <w:spacing w:after="0"/>
              <w:rPr>
                <w:sz w:val="20"/>
                <w:szCs w:val="20"/>
                <w:color w:val="auto"/>
              </w:rPr>
            </w:pPr>
            <w:r>
              <w:rPr>
                <w:rFonts w:ascii="Times New Roman" w:cs="Times New Roman" w:eastAsia="Times New Roman" w:hAnsi="Times New Roman"/>
                <w:sz w:val="20"/>
                <w:szCs w:val="20"/>
                <w:color w:val="231F20"/>
              </w:rPr>
              <w:t>(1,600)</w:t>
            </w:r>
          </w:p>
        </w:tc>
        <w:tc>
          <w:tcPr>
            <w:tcW w:w="580" w:type="dxa"/>
            <w:vAlign w:val="bottom"/>
            <w:shd w:val="clear" w:color="auto" w:fill="EAEBEC"/>
          </w:tcPr>
          <w:p>
            <w:pPr>
              <w:spacing w:after="0"/>
              <w:rPr>
                <w:sz w:val="21"/>
                <w:szCs w:val="21"/>
                <w:color w:val="auto"/>
              </w:rPr>
            </w:pPr>
          </w:p>
        </w:tc>
        <w:tc>
          <w:tcPr>
            <w:tcW w:w="760" w:type="dxa"/>
            <w:vAlign w:val="bottom"/>
            <w:gridSpan w:val="2"/>
            <w:shd w:val="clear" w:color="auto" w:fill="EAEBEC"/>
          </w:tcPr>
          <w:p>
            <w:pPr>
              <w:jc w:val="right"/>
              <w:ind w:right="160"/>
              <w:spacing w:after="0"/>
              <w:rPr>
                <w:sz w:val="20"/>
                <w:szCs w:val="20"/>
                <w:color w:val="auto"/>
              </w:rPr>
            </w:pPr>
            <w:r>
              <w:rPr>
                <w:rFonts w:ascii="Times New Roman" w:cs="Times New Roman" w:eastAsia="Times New Roman" w:hAnsi="Times New Roman"/>
                <w:sz w:val="20"/>
                <w:szCs w:val="20"/>
                <w:color w:val="231F20"/>
              </w:rPr>
              <w:t>(10.4)</w:t>
            </w:r>
          </w:p>
        </w:tc>
      </w:tr>
      <w:tr>
        <w:trPr>
          <w:trHeight w:val="244"/>
        </w:trPr>
        <w:tc>
          <w:tcPr>
            <w:tcW w:w="56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RTP R&amp;D credits</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1,624</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w:t>
            </w:r>
          </w:p>
        </w:tc>
        <w:tc>
          <w:tcPr>
            <w:tcW w:w="220" w:type="dxa"/>
            <w:vAlign w:val="bottom"/>
          </w:tcPr>
          <w:p>
            <w:pPr>
              <w:spacing w:after="0"/>
              <w:rPr>
                <w:sz w:val="21"/>
                <w:szCs w:val="21"/>
                <w:color w:val="auto"/>
              </w:rPr>
            </w:pPr>
          </w:p>
        </w:tc>
      </w:tr>
      <w:tr>
        <w:trPr>
          <w:trHeight w:val="244"/>
        </w:trPr>
        <w:tc>
          <w:tcPr>
            <w:tcW w:w="56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Nontaxable or nondeductible items:</w:t>
            </w:r>
          </w:p>
        </w:tc>
        <w:tc>
          <w:tcPr>
            <w:tcW w:w="360" w:type="dxa"/>
            <w:vAlign w:val="bottom"/>
            <w:shd w:val="clear" w:color="auto" w:fill="EAEBEC"/>
          </w:tcPr>
          <w:p>
            <w:pPr>
              <w:spacing w:after="0"/>
              <w:rPr>
                <w:sz w:val="21"/>
                <w:szCs w:val="21"/>
                <w:color w:val="auto"/>
              </w:rPr>
            </w:pPr>
          </w:p>
        </w:tc>
        <w:tc>
          <w:tcPr>
            <w:tcW w:w="840" w:type="dxa"/>
            <w:vAlign w:val="bottom"/>
            <w:shd w:val="clear" w:color="auto" w:fill="EAEBEC"/>
          </w:tcPr>
          <w:p>
            <w:pPr>
              <w:spacing w:after="0"/>
              <w:rPr>
                <w:sz w:val="21"/>
                <w:szCs w:val="21"/>
                <w:color w:val="auto"/>
              </w:rPr>
            </w:pPr>
          </w:p>
        </w:tc>
        <w:tc>
          <w:tcPr>
            <w:tcW w:w="220" w:type="dxa"/>
            <w:vAlign w:val="bottom"/>
            <w:shd w:val="clear" w:color="auto" w:fill="EAEBEC"/>
          </w:tcPr>
          <w:p>
            <w:pPr>
              <w:spacing w:after="0"/>
              <w:rPr>
                <w:sz w:val="21"/>
                <w:szCs w:val="21"/>
                <w:color w:val="auto"/>
              </w:rPr>
            </w:pPr>
          </w:p>
        </w:tc>
        <w:tc>
          <w:tcPr>
            <w:tcW w:w="580" w:type="dxa"/>
            <w:vAlign w:val="bottom"/>
            <w:shd w:val="clear" w:color="auto" w:fill="EAEBEC"/>
          </w:tcPr>
          <w:p>
            <w:pPr>
              <w:spacing w:after="0"/>
              <w:rPr>
                <w:sz w:val="21"/>
                <w:szCs w:val="21"/>
                <w:color w:val="auto"/>
              </w:rPr>
            </w:pPr>
          </w:p>
        </w:tc>
        <w:tc>
          <w:tcPr>
            <w:tcW w:w="540" w:type="dxa"/>
            <w:vAlign w:val="bottom"/>
            <w:shd w:val="clear" w:color="auto" w:fill="EAEBEC"/>
          </w:tcPr>
          <w:p>
            <w:pPr>
              <w:spacing w:after="0"/>
              <w:rPr>
                <w:sz w:val="21"/>
                <w:szCs w:val="21"/>
                <w:color w:val="auto"/>
              </w:rPr>
            </w:pPr>
          </w:p>
        </w:tc>
        <w:tc>
          <w:tcPr>
            <w:tcW w:w="220" w:type="dxa"/>
            <w:vAlign w:val="bottom"/>
            <w:shd w:val="clear" w:color="auto" w:fill="EAEBEC"/>
          </w:tcPr>
          <w:p>
            <w:pPr>
              <w:spacing w:after="0"/>
              <w:rPr>
                <w:sz w:val="21"/>
                <w:szCs w:val="21"/>
                <w:color w:val="auto"/>
              </w:rPr>
            </w:pPr>
          </w:p>
        </w:tc>
      </w:tr>
      <w:tr>
        <w:trPr>
          <w:trHeight w:val="244"/>
        </w:trPr>
        <w:tc>
          <w:tcPr>
            <w:tcW w:w="56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Dividends received deduction</w:t>
            </w:r>
          </w:p>
        </w:tc>
        <w:tc>
          <w:tcPr>
            <w:tcW w:w="3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(3,834)</w:t>
            </w:r>
          </w:p>
        </w:tc>
        <w:tc>
          <w:tcPr>
            <w:tcW w:w="58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(25.0)</w:t>
            </w:r>
          </w:p>
        </w:tc>
      </w:tr>
      <w:tr>
        <w:trPr>
          <w:trHeight w:val="244"/>
        </w:trPr>
        <w:tc>
          <w:tcPr>
            <w:tcW w:w="568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Employee share-based payments</w:t>
            </w:r>
          </w:p>
        </w:tc>
        <w:tc>
          <w:tcPr>
            <w:tcW w:w="360" w:type="dxa"/>
            <w:vAlign w:val="bottom"/>
            <w:shd w:val="clear" w:color="auto" w:fill="EAEBEC"/>
          </w:tcPr>
          <w:p>
            <w:pPr>
              <w:spacing w:after="0"/>
              <w:rPr>
                <w:sz w:val="21"/>
                <w:szCs w:val="21"/>
                <w:color w:val="auto"/>
              </w:rPr>
            </w:pPr>
          </w:p>
        </w:tc>
        <w:tc>
          <w:tcPr>
            <w:tcW w:w="8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5,252</w:t>
            </w:r>
          </w:p>
        </w:tc>
        <w:tc>
          <w:tcPr>
            <w:tcW w:w="220" w:type="dxa"/>
            <w:vAlign w:val="bottom"/>
            <w:shd w:val="clear" w:color="auto" w:fill="EAEBEC"/>
          </w:tcPr>
          <w:p>
            <w:pPr>
              <w:spacing w:after="0"/>
              <w:rPr>
                <w:sz w:val="21"/>
                <w:szCs w:val="21"/>
                <w:color w:val="auto"/>
              </w:rPr>
            </w:pPr>
          </w:p>
        </w:tc>
        <w:tc>
          <w:tcPr>
            <w:tcW w:w="580" w:type="dxa"/>
            <w:vAlign w:val="bottom"/>
            <w:shd w:val="clear" w:color="auto" w:fill="EAEBEC"/>
          </w:tcPr>
          <w:p>
            <w:pPr>
              <w:spacing w:after="0"/>
              <w:rPr>
                <w:sz w:val="21"/>
                <w:szCs w:val="21"/>
                <w:color w:val="auto"/>
              </w:rPr>
            </w:pPr>
          </w:p>
        </w:tc>
        <w:tc>
          <w:tcPr>
            <w:tcW w:w="5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34.3</w:t>
            </w:r>
          </w:p>
        </w:tc>
        <w:tc>
          <w:tcPr>
            <w:tcW w:w="220" w:type="dxa"/>
            <w:vAlign w:val="bottom"/>
            <w:shd w:val="clear" w:color="auto" w:fill="EAEBEC"/>
          </w:tcPr>
          <w:p>
            <w:pPr>
              <w:spacing w:after="0"/>
              <w:rPr>
                <w:sz w:val="21"/>
                <w:szCs w:val="21"/>
                <w:color w:val="auto"/>
              </w:rPr>
            </w:pPr>
          </w:p>
        </w:tc>
      </w:tr>
      <w:tr>
        <w:trPr>
          <w:trHeight w:val="244"/>
        </w:trPr>
        <w:tc>
          <w:tcPr>
            <w:tcW w:w="56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240</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w:t>
            </w:r>
          </w:p>
        </w:tc>
        <w:tc>
          <w:tcPr>
            <w:tcW w:w="220" w:type="dxa"/>
            <w:vAlign w:val="bottom"/>
          </w:tcPr>
          <w:p>
            <w:pPr>
              <w:spacing w:after="0"/>
              <w:rPr>
                <w:sz w:val="21"/>
                <w:szCs w:val="21"/>
                <w:color w:val="auto"/>
              </w:rPr>
            </w:pPr>
          </w:p>
        </w:tc>
      </w:tr>
      <w:tr>
        <w:trPr>
          <w:trHeight w:val="264"/>
        </w:trPr>
        <w:tc>
          <w:tcPr>
            <w:tcW w:w="568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Changes in unrecognized tax benefits</w:t>
            </w:r>
          </w:p>
        </w:tc>
        <w:tc>
          <w:tcPr>
            <w:tcW w:w="360" w:type="dxa"/>
            <w:vAlign w:val="bottom"/>
            <w:tcBorders>
              <w:bottom w:val="single" w:sz="8" w:color="231F20"/>
            </w:tcBorders>
            <w:shd w:val="clear" w:color="auto" w:fill="EAEBEC"/>
          </w:tcPr>
          <w:p>
            <w:pPr>
              <w:spacing w:after="0"/>
              <w:rPr>
                <w:sz w:val="22"/>
                <w:szCs w:val="22"/>
                <w:color w:val="auto"/>
              </w:rPr>
            </w:pPr>
          </w:p>
        </w:tc>
        <w:tc>
          <w:tcPr>
            <w:tcW w:w="8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2,272</w:t>
            </w:r>
          </w:p>
        </w:tc>
        <w:tc>
          <w:tcPr>
            <w:tcW w:w="220" w:type="dxa"/>
            <w:vAlign w:val="bottom"/>
            <w:tcBorders>
              <w:bottom w:val="single" w:sz="8" w:color="EAEBEC"/>
            </w:tcBorders>
            <w:shd w:val="clear" w:color="auto" w:fill="EAEBEC"/>
          </w:tcPr>
          <w:p>
            <w:pPr>
              <w:spacing w:after="0"/>
              <w:rPr>
                <w:sz w:val="22"/>
                <w:szCs w:val="22"/>
                <w:color w:val="auto"/>
              </w:rPr>
            </w:pPr>
          </w:p>
        </w:tc>
        <w:tc>
          <w:tcPr>
            <w:tcW w:w="580" w:type="dxa"/>
            <w:vAlign w:val="bottom"/>
            <w:tcBorders>
              <w:bottom w:val="single" w:sz="8" w:color="231F20"/>
            </w:tcBorders>
            <w:shd w:val="clear" w:color="auto" w:fill="EAEBEC"/>
          </w:tcPr>
          <w:p>
            <w:pPr>
              <w:spacing w:after="0"/>
              <w:rPr>
                <w:sz w:val="22"/>
                <w:szCs w:val="22"/>
                <w:color w:val="auto"/>
              </w:rPr>
            </w:pPr>
          </w:p>
        </w:tc>
        <w:tc>
          <w:tcPr>
            <w:tcW w:w="5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14.8</w:t>
            </w:r>
          </w:p>
        </w:tc>
        <w:tc>
          <w:tcPr>
            <w:tcW w:w="220" w:type="dxa"/>
            <w:vAlign w:val="bottom"/>
            <w:tcBorders>
              <w:bottom w:val="single" w:sz="8" w:color="EAEBEC"/>
            </w:tcBorders>
            <w:shd w:val="clear" w:color="auto" w:fill="EAEBEC"/>
          </w:tcPr>
          <w:p>
            <w:pPr>
              <w:spacing w:after="0"/>
              <w:rPr>
                <w:sz w:val="22"/>
                <w:szCs w:val="22"/>
                <w:color w:val="auto"/>
              </w:rPr>
            </w:pPr>
          </w:p>
        </w:tc>
      </w:tr>
      <w:tr>
        <w:trPr>
          <w:trHeight w:val="219"/>
        </w:trPr>
        <w:tc>
          <w:tcPr>
            <w:tcW w:w="568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231F20"/>
              </w:rPr>
              <w:t>Reported effective tax rate</w:t>
            </w:r>
          </w:p>
        </w:tc>
        <w:tc>
          <w:tcPr>
            <w:tcW w:w="360" w:type="dxa"/>
            <w:vAlign w:val="bottom"/>
          </w:tcPr>
          <w:p>
            <w:pPr>
              <w:jc w:val="right"/>
              <w:ind w:right="16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84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6,266</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gridSpan w:val="2"/>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rPr>
              <w:t>40.9%</w:t>
            </w:r>
          </w:p>
        </w:tc>
      </w:tr>
      <w:tr>
        <w:trPr>
          <w:trHeight w:val="20"/>
        </w:trPr>
        <w:tc>
          <w:tcPr>
            <w:tcW w:w="568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05" w:lineRule="exact"/>
        <w:rPr>
          <w:sz w:val="20"/>
          <w:szCs w:val="20"/>
          <w:color w:val="auto"/>
        </w:rPr>
      </w:pPr>
    </w:p>
    <w:p>
      <w:pPr>
        <w:ind w:left="980" w:hanging="490"/>
        <w:spacing w:after="0"/>
        <w:tabs>
          <w:tab w:leader="none" w:pos="980" w:val="left"/>
        </w:tabs>
        <w:numPr>
          <w:ilvl w:val="0"/>
          <w:numId w:val="37"/>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State taxes in California made up the majority (greater than 50%) of the tax effect in this category.</w:t>
      </w:r>
    </w:p>
    <w:p>
      <w:pPr>
        <w:spacing w:after="0" w:line="356" w:lineRule="exact"/>
        <w:rPr>
          <w:sz w:val="20"/>
          <w:szCs w:val="20"/>
          <w:color w:val="auto"/>
        </w:rPr>
      </w:pPr>
    </w:p>
    <w:p>
      <w:pPr>
        <w:ind w:right="180" w:firstLine="720"/>
        <w:spacing w:after="0" w:line="277" w:lineRule="auto"/>
        <w:rPr>
          <w:sz w:val="20"/>
          <w:szCs w:val="20"/>
          <w:color w:val="auto"/>
        </w:rPr>
      </w:pPr>
      <w:r>
        <w:rPr>
          <w:rFonts w:ascii="Times New Roman" w:cs="Times New Roman" w:eastAsia="Times New Roman" w:hAnsi="Times New Roman"/>
          <w:sz w:val="20"/>
          <w:szCs w:val="20"/>
          <w:color w:val="231F20"/>
        </w:rPr>
        <w:t>A reconciliation of income tax benefit at the federal statutory rate for years prior to the adoption of ASU 2023-09 is as follows (in thousands):</w:t>
      </w:r>
    </w:p>
    <w:p>
      <w:pPr>
        <w:sectPr>
          <w:pgSz w:w="11880" w:h="15480" w:orient="portrait"/>
          <w:cols w:equalWidth="0" w:num="1">
            <w:col w:w="9260"/>
          </w:cols>
          <w:pgMar w:left="1260" w:top="1240"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93</w:t>
      </w:r>
    </w:p>
    <w:p>
      <w:pPr>
        <w:sectPr>
          <w:pgSz w:w="11880" w:h="15480" w:orient="portrait"/>
          <w:cols w:equalWidth="0" w:num="1">
            <w:col w:w="9260"/>
          </w:cols>
          <w:pgMar w:left="1260" w:top="1240" w:right="1360" w:bottom="0" w:gutter="0" w:footer="0" w:header="0"/>
          <w:type w:val="continuous"/>
        </w:sectPr>
      </w:pPr>
    </w:p>
    <w:bookmarkStart w:id="103" w:name="page104"/>
    <w:bookmarkEnd w:id="103"/>
    <w:tbl>
      <w:tblPr>
        <w:tblLayout w:type="fixed"/>
        <w:tblInd w:w="46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231F20"/>
              </w:rPr>
              <w:t>Fiscal years ended</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231F20"/>
              </w:rPr>
              <w:t>February 1, 2025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9"/>
              </w:rPr>
              <w:t>February 3, 2024</w:t>
            </w:r>
          </w:p>
        </w:tc>
        <w:tc>
          <w:tcPr>
            <w:tcW w:w="0" w:type="dxa"/>
            <w:vAlign w:val="bottom"/>
          </w:tcPr>
          <w:p>
            <w:pPr>
              <w:spacing w:after="0"/>
              <w:rPr>
                <w:sz w:val="1"/>
                <w:szCs w:val="1"/>
                <w:color w:val="auto"/>
              </w:rPr>
            </w:pPr>
          </w:p>
        </w:tc>
      </w:tr>
      <w:tr>
        <w:trPr>
          <w:trHeight w:val="193"/>
        </w:trPr>
        <w:tc>
          <w:tcPr>
            <w:tcW w:w="4180" w:type="dxa"/>
            <w:vAlign w:val="bottom"/>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1160" w:type="dxa"/>
            <w:vAlign w:val="bottom"/>
            <w:tcBorders>
              <w:top w:val="single" w:sz="8" w:color="231F20"/>
            </w:tcBorders>
            <w:gridSpan w:val="3"/>
          </w:tcPr>
          <w:p>
            <w:pPr>
              <w:jc w:val="center"/>
              <w:ind w:left="243"/>
              <w:spacing w:after="0"/>
              <w:rPr>
                <w:sz w:val="20"/>
                <w:szCs w:val="20"/>
                <w:color w:val="auto"/>
              </w:rPr>
            </w:pPr>
            <w:r>
              <w:rPr>
                <w:rFonts w:ascii="Times New Roman" w:cs="Times New Roman" w:eastAsia="Times New Roman" w:hAnsi="Times New Roman"/>
                <w:sz w:val="16"/>
                <w:szCs w:val="16"/>
                <w:b w:val="1"/>
                <w:bCs w:val="1"/>
                <w:color w:val="231F20"/>
                <w:w w:val="97"/>
              </w:rPr>
              <w:t>(52 weeks)</w:t>
            </w:r>
          </w:p>
        </w:tc>
        <w:tc>
          <w:tcPr>
            <w:tcW w:w="540" w:type="dxa"/>
            <w:vAlign w:val="bottom"/>
            <w:tcBorders>
              <w:top w:val="single" w:sz="8" w:color="231F20"/>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231F20"/>
            </w:tcBorders>
          </w:tcPr>
          <w:p>
            <w:pPr>
              <w:spacing w:after="0"/>
              <w:rPr>
                <w:sz w:val="16"/>
                <w:szCs w:val="16"/>
                <w:color w:val="auto"/>
              </w:rPr>
            </w:pPr>
          </w:p>
        </w:tc>
        <w:tc>
          <w:tcPr>
            <w:tcW w:w="1240" w:type="dxa"/>
            <w:vAlign w:val="bottom"/>
            <w:tcBorders>
              <w:top w:val="single" w:sz="8" w:color="231F20"/>
            </w:tcBorders>
            <w:gridSpan w:val="3"/>
          </w:tcPr>
          <w:p>
            <w:pPr>
              <w:jc w:val="center"/>
              <w:ind w:left="263"/>
              <w:spacing w:after="0"/>
              <w:rPr>
                <w:sz w:val="20"/>
                <w:szCs w:val="20"/>
                <w:color w:val="auto"/>
              </w:rPr>
            </w:pPr>
            <w:r>
              <w:rPr>
                <w:rFonts w:ascii="Times New Roman" w:cs="Times New Roman" w:eastAsia="Times New Roman" w:hAnsi="Times New Roman"/>
                <w:sz w:val="16"/>
                <w:szCs w:val="16"/>
                <w:b w:val="1"/>
                <w:bCs w:val="1"/>
                <w:color w:val="231F20"/>
              </w:rPr>
              <w:t>(53 weeks)</w:t>
            </w:r>
          </w:p>
        </w:tc>
        <w:tc>
          <w:tcPr>
            <w:tcW w:w="500" w:type="dxa"/>
            <w:vAlign w:val="bottom"/>
            <w:tcBorders>
              <w:top w:val="single" w:sz="8" w:color="231F20"/>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360" w:type="dxa"/>
            <w:vAlign w:val="bottom"/>
            <w:gridSpan w:val="2"/>
            <w:shd w:val="clear" w:color="auto" w:fill="EAEBEC"/>
          </w:tcPr>
          <w:p>
            <w:pPr>
              <w:spacing w:after="0"/>
              <w:rPr>
                <w:sz w:val="20"/>
                <w:szCs w:val="20"/>
                <w:color w:val="auto"/>
              </w:rPr>
            </w:pPr>
            <w:r>
              <w:rPr>
                <w:rFonts w:ascii="Times New Roman" w:cs="Times New Roman" w:eastAsia="Times New Roman" w:hAnsi="Times New Roman"/>
                <w:sz w:val="20"/>
                <w:szCs w:val="20"/>
                <w:color w:val="231F20"/>
              </w:rPr>
              <w:t>Income benefit at federal statutory rate</w:t>
            </w:r>
          </w:p>
        </w:tc>
        <w:tc>
          <w:tcPr>
            <w:tcW w:w="90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(23,258)</w:t>
            </w:r>
          </w:p>
        </w:tc>
        <w:tc>
          <w:tcPr>
            <w:tcW w:w="260" w:type="dxa"/>
            <w:vAlign w:val="bottom"/>
            <w:shd w:val="clear" w:color="auto" w:fill="EAEBEC"/>
          </w:tcPr>
          <w:p>
            <w:pPr>
              <w:spacing w:after="0"/>
              <w:rPr>
                <w:sz w:val="21"/>
                <w:szCs w:val="21"/>
                <w:color w:val="auto"/>
              </w:rPr>
            </w:pPr>
          </w:p>
        </w:tc>
        <w:tc>
          <w:tcPr>
            <w:tcW w:w="760" w:type="dxa"/>
            <w:vAlign w:val="bottom"/>
            <w:gridSpan w:val="2"/>
            <w:shd w:val="clear" w:color="auto" w:fill="EAEBEC"/>
          </w:tcPr>
          <w:p>
            <w:pPr>
              <w:jc w:val="right"/>
              <w:ind w:right="60"/>
              <w:spacing w:after="0"/>
              <w:rPr>
                <w:sz w:val="20"/>
                <w:szCs w:val="20"/>
                <w:color w:val="auto"/>
              </w:rPr>
            </w:pPr>
            <w:r>
              <w:rPr>
                <w:rFonts w:ascii="Times New Roman" w:cs="Times New Roman" w:eastAsia="Times New Roman" w:hAnsi="Times New Roman"/>
                <w:sz w:val="20"/>
                <w:szCs w:val="20"/>
                <w:color w:val="231F20"/>
              </w:rPr>
              <w:t>21.0%</w:t>
            </w:r>
          </w:p>
        </w:tc>
        <w:tc>
          <w:tcPr>
            <w:tcW w:w="20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94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(274,642)</w:t>
            </w:r>
          </w:p>
        </w:tc>
        <w:tc>
          <w:tcPr>
            <w:tcW w:w="300" w:type="dxa"/>
            <w:vAlign w:val="bottom"/>
            <w:shd w:val="clear" w:color="auto" w:fill="EAEBEC"/>
          </w:tcPr>
          <w:p>
            <w:pPr>
              <w:spacing w:after="0"/>
              <w:rPr>
                <w:sz w:val="21"/>
                <w:szCs w:val="21"/>
                <w:color w:val="auto"/>
              </w:rPr>
            </w:pPr>
          </w:p>
        </w:tc>
        <w:tc>
          <w:tcPr>
            <w:tcW w:w="720" w:type="dxa"/>
            <w:vAlign w:val="bottom"/>
            <w:gridSpan w:val="2"/>
            <w:shd w:val="clear" w:color="auto" w:fill="EAEBEC"/>
          </w:tcPr>
          <w:p>
            <w:pPr>
              <w:jc w:val="right"/>
              <w:ind w:right="40"/>
              <w:spacing w:after="0"/>
              <w:rPr>
                <w:sz w:val="20"/>
                <w:szCs w:val="20"/>
                <w:color w:val="auto"/>
              </w:rPr>
            </w:pPr>
            <w:r>
              <w:rPr>
                <w:rFonts w:ascii="Times New Roman" w:cs="Times New Roman" w:eastAsia="Times New Roman" w:hAnsi="Times New Roman"/>
                <w:sz w:val="20"/>
                <w:szCs w:val="20"/>
                <w:color w:val="231F20"/>
              </w:rPr>
              <w:t>21.0%</w:t>
            </w:r>
          </w:p>
        </w:tc>
        <w:tc>
          <w:tcPr>
            <w:tcW w:w="0" w:type="dxa"/>
            <w:vAlign w:val="bottom"/>
          </w:tcPr>
          <w:p>
            <w:pPr>
              <w:spacing w:after="0"/>
              <w:rPr>
                <w:sz w:val="1"/>
                <w:szCs w:val="1"/>
                <w:color w:val="auto"/>
              </w:rPr>
            </w:pPr>
          </w:p>
        </w:tc>
      </w:tr>
      <w:tr>
        <w:trPr>
          <w:trHeight w:val="244"/>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Non-deductible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3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60" w:type="dxa"/>
            <w:vAlign w:val="bottom"/>
            <w:gridSpan w:val="2"/>
            <w:shd w:val="clear" w:color="auto" w:fill="EAEBEC"/>
          </w:tcPr>
          <w:p>
            <w:pPr>
              <w:spacing w:after="0"/>
              <w:rPr>
                <w:sz w:val="20"/>
                <w:szCs w:val="20"/>
                <w:color w:val="auto"/>
              </w:rPr>
            </w:pPr>
            <w:r>
              <w:rPr>
                <w:rFonts w:ascii="Times New Roman" w:cs="Times New Roman" w:eastAsia="Times New Roman" w:hAnsi="Times New Roman"/>
                <w:sz w:val="20"/>
                <w:szCs w:val="20"/>
                <w:color w:val="231F20"/>
              </w:rPr>
              <w:t>Impairment (1)</w:t>
            </w:r>
          </w:p>
        </w:tc>
        <w:tc>
          <w:tcPr>
            <w:tcW w:w="7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46</w:t>
            </w:r>
          </w:p>
        </w:tc>
        <w:tc>
          <w:tcPr>
            <w:tcW w:w="200" w:type="dxa"/>
            <w:vAlign w:val="bottom"/>
            <w:shd w:val="clear" w:color="auto" w:fill="EAEBEC"/>
          </w:tcPr>
          <w:p>
            <w:pPr>
              <w:spacing w:after="0"/>
              <w:rPr>
                <w:sz w:val="21"/>
                <w:szCs w:val="21"/>
                <w:color w:val="auto"/>
              </w:rPr>
            </w:pPr>
          </w:p>
        </w:tc>
        <w:tc>
          <w:tcPr>
            <w:tcW w:w="260" w:type="dxa"/>
            <w:vAlign w:val="bottom"/>
            <w:shd w:val="clear" w:color="auto" w:fill="EAEBEC"/>
          </w:tcPr>
          <w:p>
            <w:pPr>
              <w:spacing w:after="0"/>
              <w:rPr>
                <w:sz w:val="21"/>
                <w:szCs w:val="21"/>
                <w:color w:val="auto"/>
              </w:rPr>
            </w:pPr>
          </w:p>
        </w:tc>
        <w:tc>
          <w:tcPr>
            <w:tcW w:w="760" w:type="dxa"/>
            <w:vAlign w:val="bottom"/>
            <w:gridSpan w:val="2"/>
            <w:shd w:val="clear" w:color="auto" w:fill="EAEBEC"/>
          </w:tcPr>
          <w:p>
            <w:pPr>
              <w:jc w:val="right"/>
              <w:ind w:right="160"/>
              <w:spacing w:after="0"/>
              <w:rPr>
                <w:sz w:val="20"/>
                <w:szCs w:val="20"/>
                <w:color w:val="auto"/>
              </w:rPr>
            </w:pPr>
            <w:r>
              <w:rPr>
                <w:rFonts w:ascii="Times New Roman" w:cs="Times New Roman" w:eastAsia="Times New Roman" w:hAnsi="Times New Roman"/>
                <w:sz w:val="20"/>
                <w:szCs w:val="20"/>
                <w:color w:val="231F20"/>
              </w:rPr>
              <w:t>(0.1)</w:t>
            </w:r>
          </w:p>
        </w:tc>
        <w:tc>
          <w:tcPr>
            <w:tcW w:w="8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7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242,819</w:t>
            </w:r>
          </w:p>
        </w:tc>
        <w:tc>
          <w:tcPr>
            <w:tcW w:w="180" w:type="dxa"/>
            <w:vAlign w:val="bottom"/>
            <w:shd w:val="clear" w:color="auto" w:fill="EAEBEC"/>
          </w:tcPr>
          <w:p>
            <w:pPr>
              <w:spacing w:after="0"/>
              <w:rPr>
                <w:sz w:val="21"/>
                <w:szCs w:val="21"/>
                <w:color w:val="auto"/>
              </w:rPr>
            </w:pPr>
          </w:p>
        </w:tc>
        <w:tc>
          <w:tcPr>
            <w:tcW w:w="300" w:type="dxa"/>
            <w:vAlign w:val="bottom"/>
            <w:shd w:val="clear" w:color="auto" w:fill="EAEBEC"/>
          </w:tcPr>
          <w:p>
            <w:pPr>
              <w:spacing w:after="0"/>
              <w:rPr>
                <w:sz w:val="21"/>
                <w:szCs w:val="21"/>
                <w:color w:val="auto"/>
              </w:rPr>
            </w:pPr>
          </w:p>
        </w:tc>
        <w:tc>
          <w:tcPr>
            <w:tcW w:w="720" w:type="dxa"/>
            <w:vAlign w:val="bottom"/>
            <w:gridSpan w:val="2"/>
            <w:shd w:val="clear" w:color="auto" w:fill="EAEBEC"/>
          </w:tcPr>
          <w:p>
            <w:pPr>
              <w:jc w:val="right"/>
              <w:ind w:right="140"/>
              <w:spacing w:after="0"/>
              <w:rPr>
                <w:sz w:val="20"/>
                <w:szCs w:val="20"/>
                <w:color w:val="auto"/>
              </w:rPr>
            </w:pPr>
            <w:r>
              <w:rPr>
                <w:rFonts w:ascii="Times New Roman" w:cs="Times New Roman" w:eastAsia="Times New Roman" w:hAnsi="Times New Roman"/>
                <w:sz w:val="20"/>
                <w:szCs w:val="20"/>
                <w:color w:val="231F20"/>
              </w:rPr>
              <w:t>(18.6)</w:t>
            </w:r>
          </w:p>
        </w:tc>
        <w:tc>
          <w:tcPr>
            <w:tcW w:w="0" w:type="dxa"/>
            <w:vAlign w:val="bottom"/>
          </w:tcPr>
          <w:p>
            <w:pPr>
              <w:spacing w:after="0"/>
              <w:rPr>
                <w:sz w:val="1"/>
                <w:szCs w:val="1"/>
                <w:color w:val="auto"/>
              </w:rPr>
            </w:pPr>
          </w:p>
        </w:tc>
      </w:tr>
      <w:tr>
        <w:trPr>
          <w:trHeight w:val="244"/>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Equity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13,982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16,493</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(1.3)</w:t>
            </w:r>
          </w:p>
        </w:tc>
        <w:tc>
          <w:tcPr>
            <w:tcW w:w="0" w:type="dxa"/>
            <w:vAlign w:val="bottom"/>
          </w:tcPr>
          <w:p>
            <w:pPr>
              <w:spacing w:after="0"/>
              <w:rPr>
                <w:sz w:val="1"/>
                <w:szCs w:val="1"/>
                <w:color w:val="auto"/>
              </w:rPr>
            </w:pPr>
          </w:p>
        </w:tc>
      </w:tr>
      <w:tr>
        <w:trPr>
          <w:trHeight w:val="244"/>
        </w:trPr>
        <w:tc>
          <w:tcPr>
            <w:tcW w:w="4360" w:type="dxa"/>
            <w:vAlign w:val="bottom"/>
            <w:gridSpan w:val="2"/>
            <w:shd w:val="clear" w:color="auto" w:fill="EAEBEC"/>
          </w:tcPr>
          <w:p>
            <w:pPr>
              <w:spacing w:after="0"/>
              <w:rPr>
                <w:sz w:val="20"/>
                <w:szCs w:val="20"/>
                <w:color w:val="auto"/>
              </w:rPr>
            </w:pPr>
            <w:r>
              <w:rPr>
                <w:rFonts w:ascii="Times New Roman" w:cs="Times New Roman" w:eastAsia="Times New Roman" w:hAnsi="Times New Roman"/>
                <w:sz w:val="20"/>
                <w:szCs w:val="20"/>
                <w:color w:val="231F20"/>
              </w:rPr>
              <w:t>State taxes, net of federal tax benefit</w:t>
            </w:r>
          </w:p>
        </w:tc>
        <w:tc>
          <w:tcPr>
            <w:tcW w:w="90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(1,880)</w:t>
            </w:r>
          </w:p>
        </w:tc>
        <w:tc>
          <w:tcPr>
            <w:tcW w:w="260" w:type="dxa"/>
            <w:vAlign w:val="bottom"/>
            <w:shd w:val="clear" w:color="auto" w:fill="EAEBEC"/>
          </w:tcPr>
          <w:p>
            <w:pPr>
              <w:spacing w:after="0"/>
              <w:rPr>
                <w:sz w:val="21"/>
                <w:szCs w:val="21"/>
                <w:color w:val="auto"/>
              </w:rPr>
            </w:pPr>
          </w:p>
        </w:tc>
        <w:tc>
          <w:tcPr>
            <w:tcW w:w="5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1.7</w:t>
            </w:r>
          </w:p>
        </w:tc>
        <w:tc>
          <w:tcPr>
            <w:tcW w:w="22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94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(11,228)</w:t>
            </w:r>
          </w:p>
        </w:tc>
        <w:tc>
          <w:tcPr>
            <w:tcW w:w="300" w:type="dxa"/>
            <w:vAlign w:val="bottom"/>
            <w:shd w:val="clear" w:color="auto" w:fill="EAEBEC"/>
          </w:tcPr>
          <w:p>
            <w:pPr>
              <w:spacing w:after="0"/>
              <w:rPr>
                <w:sz w:val="21"/>
                <w:szCs w:val="21"/>
                <w:color w:val="auto"/>
              </w:rPr>
            </w:pPr>
          </w:p>
        </w:tc>
        <w:tc>
          <w:tcPr>
            <w:tcW w:w="5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0.9</w:t>
            </w:r>
          </w:p>
        </w:tc>
        <w:tc>
          <w:tcPr>
            <w:tcW w:w="22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Foreign tax</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1,836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20"/>
                <w:szCs w:val="20"/>
                <w:color w:val="231F2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44"/>
        </w:trPr>
        <w:tc>
          <w:tcPr>
            <w:tcW w:w="4360" w:type="dxa"/>
            <w:vAlign w:val="bottom"/>
            <w:gridSpan w:val="2"/>
            <w:shd w:val="clear" w:color="auto" w:fill="EAEBEC"/>
          </w:tcPr>
          <w:p>
            <w:pPr>
              <w:spacing w:after="0"/>
              <w:rPr>
                <w:sz w:val="20"/>
                <w:szCs w:val="20"/>
                <w:color w:val="auto"/>
              </w:rPr>
            </w:pPr>
            <w:r>
              <w:rPr>
                <w:rFonts w:ascii="Times New Roman" w:cs="Times New Roman" w:eastAsia="Times New Roman" w:hAnsi="Times New Roman"/>
                <w:sz w:val="20"/>
                <w:szCs w:val="20"/>
                <w:color w:val="231F20"/>
              </w:rPr>
              <w:t>Tax credits</w:t>
            </w:r>
          </w:p>
        </w:tc>
        <w:tc>
          <w:tcPr>
            <w:tcW w:w="90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(3,800)</w:t>
            </w:r>
          </w:p>
        </w:tc>
        <w:tc>
          <w:tcPr>
            <w:tcW w:w="260" w:type="dxa"/>
            <w:vAlign w:val="bottom"/>
            <w:shd w:val="clear" w:color="auto" w:fill="EAEBEC"/>
          </w:tcPr>
          <w:p>
            <w:pPr>
              <w:spacing w:after="0"/>
              <w:rPr>
                <w:sz w:val="21"/>
                <w:szCs w:val="21"/>
                <w:color w:val="auto"/>
              </w:rPr>
            </w:pPr>
          </w:p>
        </w:tc>
        <w:tc>
          <w:tcPr>
            <w:tcW w:w="5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3.4</w:t>
            </w:r>
          </w:p>
        </w:tc>
        <w:tc>
          <w:tcPr>
            <w:tcW w:w="220" w:type="dxa"/>
            <w:vAlign w:val="bottom"/>
            <w:shd w:val="clear" w:color="auto" w:fill="EAEBEC"/>
          </w:tcPr>
          <w:p>
            <w:pPr>
              <w:spacing w:after="0"/>
              <w:rPr>
                <w:sz w:val="21"/>
                <w:szCs w:val="21"/>
                <w:color w:val="auto"/>
              </w:rPr>
            </w:pPr>
          </w:p>
        </w:tc>
        <w:tc>
          <w:tcPr>
            <w:tcW w:w="8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940" w:type="dxa"/>
            <w:vAlign w:val="bottom"/>
            <w:gridSpan w:val="2"/>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(3,800)</w:t>
            </w:r>
          </w:p>
        </w:tc>
        <w:tc>
          <w:tcPr>
            <w:tcW w:w="300" w:type="dxa"/>
            <w:vAlign w:val="bottom"/>
            <w:shd w:val="clear" w:color="auto" w:fill="EAEBEC"/>
          </w:tcPr>
          <w:p>
            <w:pPr>
              <w:spacing w:after="0"/>
              <w:rPr>
                <w:sz w:val="21"/>
                <w:szCs w:val="21"/>
                <w:color w:val="auto"/>
              </w:rPr>
            </w:pPr>
          </w:p>
        </w:tc>
        <w:tc>
          <w:tcPr>
            <w:tcW w:w="5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0.3</w:t>
            </w:r>
          </w:p>
        </w:tc>
        <w:tc>
          <w:tcPr>
            <w:tcW w:w="220" w:type="dxa"/>
            <w:vAlign w:val="bottom"/>
            <w:shd w:val="clear" w:color="auto" w:fill="EAEBE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6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Uncertain tax positions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1,808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1,829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(0.1)</w:t>
            </w:r>
          </w:p>
        </w:tc>
        <w:tc>
          <w:tcPr>
            <w:tcW w:w="0" w:type="dxa"/>
            <w:vAlign w:val="bottom"/>
          </w:tcPr>
          <w:p>
            <w:pPr>
              <w:spacing w:after="0"/>
              <w:rPr>
                <w:sz w:val="1"/>
                <w:szCs w:val="1"/>
                <w:color w:val="auto"/>
              </w:rPr>
            </w:pPr>
          </w:p>
        </w:tc>
      </w:tr>
      <w:tr>
        <w:trPr>
          <w:trHeight w:val="244"/>
        </w:trPr>
        <w:tc>
          <w:tcPr>
            <w:tcW w:w="418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Other, net</w:t>
            </w:r>
          </w:p>
        </w:tc>
        <w:tc>
          <w:tcPr>
            <w:tcW w:w="180" w:type="dxa"/>
            <w:vAlign w:val="bottom"/>
            <w:shd w:val="clear" w:color="auto" w:fill="EAEBEC"/>
          </w:tcPr>
          <w:p>
            <w:pPr>
              <w:spacing w:after="0"/>
              <w:rPr>
                <w:sz w:val="21"/>
                <w:szCs w:val="21"/>
                <w:color w:val="auto"/>
              </w:rPr>
            </w:pPr>
          </w:p>
        </w:tc>
        <w:tc>
          <w:tcPr>
            <w:tcW w:w="7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2,261</w:t>
            </w:r>
          </w:p>
        </w:tc>
        <w:tc>
          <w:tcPr>
            <w:tcW w:w="200" w:type="dxa"/>
            <w:vAlign w:val="bottom"/>
            <w:shd w:val="clear" w:color="auto" w:fill="EAEBEC"/>
          </w:tcPr>
          <w:p>
            <w:pPr>
              <w:spacing w:after="0"/>
              <w:rPr>
                <w:sz w:val="21"/>
                <w:szCs w:val="21"/>
                <w:color w:val="auto"/>
              </w:rPr>
            </w:pPr>
          </w:p>
        </w:tc>
        <w:tc>
          <w:tcPr>
            <w:tcW w:w="260" w:type="dxa"/>
            <w:vAlign w:val="bottom"/>
            <w:shd w:val="clear" w:color="auto" w:fill="EAEBEC"/>
          </w:tcPr>
          <w:p>
            <w:pPr>
              <w:spacing w:after="0"/>
              <w:rPr>
                <w:sz w:val="21"/>
                <w:szCs w:val="21"/>
                <w:color w:val="auto"/>
              </w:rPr>
            </w:pPr>
          </w:p>
        </w:tc>
        <w:tc>
          <w:tcPr>
            <w:tcW w:w="760" w:type="dxa"/>
            <w:vAlign w:val="bottom"/>
            <w:gridSpan w:val="2"/>
            <w:shd w:val="clear" w:color="auto" w:fill="EAEBEC"/>
          </w:tcPr>
          <w:p>
            <w:pPr>
              <w:jc w:val="right"/>
              <w:ind w:right="160"/>
              <w:spacing w:after="0"/>
              <w:rPr>
                <w:sz w:val="20"/>
                <w:szCs w:val="20"/>
                <w:color w:val="auto"/>
              </w:rPr>
            </w:pPr>
            <w:r>
              <w:rPr>
                <w:rFonts w:ascii="Times New Roman" w:cs="Times New Roman" w:eastAsia="Times New Roman" w:hAnsi="Times New Roman"/>
                <w:sz w:val="20"/>
                <w:szCs w:val="20"/>
                <w:color w:val="231F20"/>
              </w:rPr>
              <w:t>(2.0)</w:t>
            </w:r>
          </w:p>
        </w:tc>
        <w:tc>
          <w:tcPr>
            <w:tcW w:w="80" w:type="dxa"/>
            <w:vAlign w:val="bottom"/>
            <w:shd w:val="clear" w:color="auto" w:fill="EAEBEC"/>
          </w:tcPr>
          <w:p>
            <w:pPr>
              <w:spacing w:after="0"/>
              <w:rPr>
                <w:sz w:val="21"/>
                <w:szCs w:val="21"/>
                <w:color w:val="auto"/>
              </w:rPr>
            </w:pPr>
          </w:p>
        </w:tc>
        <w:tc>
          <w:tcPr>
            <w:tcW w:w="120" w:type="dxa"/>
            <w:vAlign w:val="bottom"/>
            <w:shd w:val="clear" w:color="auto" w:fill="EAEBEC"/>
          </w:tcPr>
          <w:p>
            <w:pPr>
              <w:spacing w:after="0"/>
              <w:rPr>
                <w:sz w:val="21"/>
                <w:szCs w:val="21"/>
                <w:color w:val="auto"/>
              </w:rPr>
            </w:pPr>
          </w:p>
        </w:tc>
        <w:tc>
          <w:tcPr>
            <w:tcW w:w="7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942</w:t>
            </w:r>
          </w:p>
        </w:tc>
        <w:tc>
          <w:tcPr>
            <w:tcW w:w="180" w:type="dxa"/>
            <w:vAlign w:val="bottom"/>
            <w:shd w:val="clear" w:color="auto" w:fill="EAEBEC"/>
          </w:tcPr>
          <w:p>
            <w:pPr>
              <w:spacing w:after="0"/>
              <w:rPr>
                <w:sz w:val="21"/>
                <w:szCs w:val="21"/>
                <w:color w:val="auto"/>
              </w:rPr>
            </w:pPr>
          </w:p>
        </w:tc>
        <w:tc>
          <w:tcPr>
            <w:tcW w:w="300" w:type="dxa"/>
            <w:vAlign w:val="bottom"/>
            <w:shd w:val="clear" w:color="auto" w:fill="EAEBEC"/>
          </w:tcPr>
          <w:p>
            <w:pPr>
              <w:spacing w:after="0"/>
              <w:rPr>
                <w:sz w:val="21"/>
                <w:szCs w:val="21"/>
                <w:color w:val="auto"/>
              </w:rPr>
            </w:pPr>
          </w:p>
        </w:tc>
        <w:tc>
          <w:tcPr>
            <w:tcW w:w="720" w:type="dxa"/>
            <w:vAlign w:val="bottom"/>
            <w:gridSpan w:val="2"/>
            <w:shd w:val="clear" w:color="auto" w:fill="EAEBEC"/>
          </w:tcPr>
          <w:p>
            <w:pPr>
              <w:jc w:val="right"/>
              <w:ind w:right="140"/>
              <w:spacing w:after="0"/>
              <w:rPr>
                <w:sz w:val="20"/>
                <w:szCs w:val="20"/>
                <w:color w:val="auto"/>
              </w:rPr>
            </w:pPr>
            <w:r>
              <w:rPr>
                <w:rFonts w:ascii="Times New Roman" w:cs="Times New Roman" w:eastAsia="Times New Roman" w:hAnsi="Times New Roman"/>
                <w:sz w:val="20"/>
                <w:szCs w:val="20"/>
                <w:color w:val="231F20"/>
              </w:rPr>
              <w:t>(0.1)</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line="20" w:lineRule="exact"/>
              <w:rPr>
                <w:sz w:val="1"/>
                <w:szCs w:val="1"/>
                <w:color w:val="auto"/>
              </w:rPr>
            </w:pPr>
          </w:p>
        </w:tc>
        <w:tc>
          <w:tcPr>
            <w:tcW w:w="18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200" w:type="dxa"/>
            <w:vAlign w:val="bottom"/>
            <w:vMerge w:val="restart"/>
          </w:tcPr>
          <w:p>
            <w:pPr>
              <w:jc w:val="center"/>
              <w:ind w:right="20"/>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shd w:val="clear" w:color="auto" w:fill="231F20"/>
          </w:tcPr>
          <w:p>
            <w:pPr>
              <w:spacing w:after="0" w:line="20" w:lineRule="exact"/>
              <w:rPr>
                <w:sz w:val="1"/>
                <w:szCs w:val="1"/>
                <w:color w:val="auto"/>
              </w:rPr>
            </w:pPr>
          </w:p>
        </w:tc>
        <w:tc>
          <w:tcPr>
            <w:tcW w:w="5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760" w:type="dxa"/>
            <w:vAlign w:val="bottom"/>
            <w:shd w:val="clear" w:color="auto" w:fill="231F20"/>
          </w:tcPr>
          <w:p>
            <w:pPr>
              <w:spacing w:after="0" w:line="20" w:lineRule="exact"/>
              <w:rPr>
                <w:sz w:val="1"/>
                <w:szCs w:val="1"/>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w:t>
            </w:r>
          </w:p>
        </w:tc>
        <w:tc>
          <w:tcPr>
            <w:tcW w:w="300" w:type="dxa"/>
            <w:vAlign w:val="bottom"/>
            <w:shd w:val="clear" w:color="auto" w:fill="231F20"/>
          </w:tcPr>
          <w:p>
            <w:pPr>
              <w:spacing w:after="0" w:line="20" w:lineRule="exact"/>
              <w:rPr>
                <w:sz w:val="1"/>
                <w:szCs w:val="1"/>
                <w:color w:val="auto"/>
              </w:rPr>
            </w:pPr>
          </w:p>
        </w:tc>
        <w:tc>
          <w:tcPr>
            <w:tcW w:w="50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1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(7,481</w:t>
            </w:r>
          </w:p>
        </w:tc>
        <w:tc>
          <w:tcPr>
            <w:tcW w:w="2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6.8%</w:t>
            </w:r>
          </w:p>
        </w:tc>
        <w:tc>
          <w:tcPr>
            <w:tcW w:w="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(27,613</w:t>
            </w:r>
          </w:p>
        </w:tc>
        <w:tc>
          <w:tcPr>
            <w:tcW w:w="1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2.1%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54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76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50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-1871345</wp:posOffset>
            </wp:positionV>
            <wp:extent cx="260477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0">
                      <a:extLst>
                        <a:ext uri="{28A0092B-C50C-407E-A947-70E740481C1C}"/>
                      </a:extLst>
                    </a:blip>
                    <a:srcRect/>
                    <a:stretch>
                      <a:fillRect/>
                    </a:stretch>
                  </pic:blipFill>
                  <pic:spPr bwMode="auto">
                    <a:xfrm>
                      <a:off x="0" y="0"/>
                      <a:ext cx="2604770" cy="38100"/>
                    </a:xfrm>
                    <a:prstGeom prst="rect">
                      <a:avLst/>
                    </a:prstGeom>
                    <a:noFill/>
                  </pic:spPr>
                </pic:pic>
              </a:graphicData>
            </a:graphic>
          </wp:anchor>
        </w:drawing>
      </w:r>
    </w:p>
    <w:p>
      <w:pPr>
        <w:spacing w:after="0" w:line="85" w:lineRule="exact"/>
        <w:rPr>
          <w:sz w:val="20"/>
          <w:szCs w:val="20"/>
          <w:color w:val="auto"/>
        </w:rPr>
      </w:pPr>
    </w:p>
    <w:p>
      <w:pPr>
        <w:ind w:left="980" w:hanging="490"/>
        <w:spacing w:after="0"/>
        <w:tabs>
          <w:tab w:leader="none" w:pos="980" w:val="left"/>
        </w:tabs>
        <w:numPr>
          <w:ilvl w:val="0"/>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Impairment represents adjustments for the non-deductible component of goodwill impairment.</w:t>
      </w:r>
    </w:p>
    <w:p>
      <w:pPr>
        <w:spacing w:after="0" w:line="333" w:lineRule="exact"/>
        <w:rPr>
          <w:sz w:val="20"/>
          <w:szCs w:val="20"/>
          <w:color w:val="auto"/>
        </w:rPr>
      </w:pPr>
    </w:p>
    <w:p>
      <w:pPr>
        <w:ind w:right="60" w:firstLine="495"/>
        <w:spacing w:after="0" w:line="233" w:lineRule="auto"/>
        <w:rPr>
          <w:sz w:val="20"/>
          <w:szCs w:val="20"/>
          <w:color w:val="auto"/>
        </w:rPr>
      </w:pPr>
      <w:r>
        <w:rPr>
          <w:rFonts w:ascii="Times New Roman" w:cs="Times New Roman" w:eastAsia="Times New Roman" w:hAnsi="Times New Roman"/>
          <w:sz w:val="20"/>
          <w:szCs w:val="20"/>
          <w:color w:val="231F20"/>
        </w:rPr>
        <w:t>The effective tax rate is driven by income earned in various taxing jurisdictions, including U.S. states, and the statutory tax rates imposed by those jurisdictions, as well as permanent differences including nondeductible equity compensation, goodwill impairment charges, dividends received, and tax credits.</w:t>
      </w:r>
    </w:p>
    <w:p>
      <w:pPr>
        <w:spacing w:after="0" w:line="1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Significant components of the Company’s deferred tax assets and liabilities were as follows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231F20"/>
              </w:rPr>
              <w:t>January 31,</w:t>
            </w:r>
          </w:p>
        </w:tc>
        <w:tc>
          <w:tcPr>
            <w:tcW w:w="180" w:type="dxa"/>
            <w:vAlign w:val="bottom"/>
          </w:tcPr>
          <w:p>
            <w:pPr>
              <w:spacing w:after="0"/>
              <w:rPr>
                <w:sz w:val="16"/>
                <w:szCs w:val="16"/>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231F20"/>
              </w:rPr>
              <w:t>February 1,</w:t>
            </w:r>
          </w:p>
        </w:tc>
      </w:tr>
      <w:tr>
        <w:trPr>
          <w:trHeight w:val="203"/>
        </w:trPr>
        <w:tc>
          <w:tcPr>
            <w:tcW w:w="6340" w:type="dxa"/>
            <w:vAlign w:val="bottom"/>
            <w:tcBorders>
              <w:bottom w:val="single" w:sz="8" w:color="EAEBEC"/>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180" w:type="dxa"/>
            <w:vAlign w:val="bottom"/>
            <w:tcBorders>
              <w:bottom w:val="single" w:sz="8" w:color="231F20"/>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240" w:type="dxa"/>
            <w:vAlign w:val="bottom"/>
            <w:tcBorders>
              <w:bottom w:val="single" w:sz="8" w:color="EAEBEC"/>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160" w:type="dxa"/>
            <w:vAlign w:val="bottom"/>
            <w:tcBorders>
              <w:bottom w:val="single" w:sz="8" w:color="231F20"/>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80" w:type="dxa"/>
            <w:vAlign w:val="bottom"/>
            <w:tcBorders>
              <w:bottom w:val="single" w:sz="8" w:color="EAEBEC"/>
            </w:tcBorders>
          </w:tcPr>
          <w:p>
            <w:pPr>
              <w:spacing w:after="0"/>
              <w:rPr>
                <w:sz w:val="17"/>
                <w:szCs w:val="17"/>
                <w:color w:val="auto"/>
              </w:rPr>
            </w:pPr>
          </w:p>
        </w:tc>
      </w:tr>
      <w:tr>
        <w:trPr>
          <w:trHeight w:val="239"/>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Deferred tax assets:</w:t>
            </w:r>
          </w:p>
        </w:tc>
        <w:tc>
          <w:tcPr>
            <w:tcW w:w="180" w:type="dxa"/>
            <w:vAlign w:val="bottom"/>
            <w:shd w:val="clear" w:color="auto" w:fill="EAEBEC"/>
          </w:tcPr>
          <w:p>
            <w:pPr>
              <w:spacing w:after="0"/>
              <w:rPr>
                <w:sz w:val="20"/>
                <w:szCs w:val="20"/>
                <w:color w:val="auto"/>
              </w:rPr>
            </w:pPr>
          </w:p>
        </w:tc>
        <w:tc>
          <w:tcPr>
            <w:tcW w:w="1180" w:type="dxa"/>
            <w:vAlign w:val="bottom"/>
            <w:shd w:val="clear" w:color="auto" w:fill="EAEBEC"/>
          </w:tcPr>
          <w:p>
            <w:pPr>
              <w:spacing w:after="0"/>
              <w:rPr>
                <w:sz w:val="20"/>
                <w:szCs w:val="20"/>
                <w:color w:val="auto"/>
              </w:rPr>
            </w:pPr>
          </w:p>
        </w:tc>
        <w:tc>
          <w:tcPr>
            <w:tcW w:w="240" w:type="dxa"/>
            <w:vAlign w:val="bottom"/>
            <w:shd w:val="clear" w:color="auto" w:fill="EAEBEC"/>
          </w:tcPr>
          <w:p>
            <w:pPr>
              <w:spacing w:after="0"/>
              <w:rPr>
                <w:sz w:val="20"/>
                <w:szCs w:val="20"/>
                <w:color w:val="auto"/>
              </w:rPr>
            </w:pPr>
          </w:p>
        </w:tc>
        <w:tc>
          <w:tcPr>
            <w:tcW w:w="180" w:type="dxa"/>
            <w:vAlign w:val="bottom"/>
            <w:shd w:val="clear" w:color="auto" w:fill="EAEBEC"/>
          </w:tcPr>
          <w:p>
            <w:pPr>
              <w:spacing w:after="0"/>
              <w:rPr>
                <w:sz w:val="20"/>
                <w:szCs w:val="20"/>
                <w:color w:val="auto"/>
              </w:rPr>
            </w:pPr>
          </w:p>
        </w:tc>
        <w:tc>
          <w:tcPr>
            <w:tcW w:w="1160" w:type="dxa"/>
            <w:vAlign w:val="bottom"/>
            <w:shd w:val="clear" w:color="auto" w:fill="EAEBEC"/>
          </w:tcPr>
          <w:p>
            <w:pPr>
              <w:spacing w:after="0"/>
              <w:rPr>
                <w:sz w:val="20"/>
                <w:szCs w:val="20"/>
                <w:color w:val="auto"/>
              </w:rPr>
            </w:pPr>
          </w:p>
        </w:tc>
        <w:tc>
          <w:tcPr>
            <w:tcW w:w="80" w:type="dxa"/>
            <w:vAlign w:val="bottom"/>
            <w:shd w:val="clear" w:color="auto" w:fill="EAEBEC"/>
          </w:tcPr>
          <w:p>
            <w:pPr>
              <w:spacing w:after="0"/>
              <w:rPr>
                <w:sz w:val="20"/>
                <w:szCs w:val="20"/>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Inventory</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20,605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26,215</w:t>
            </w:r>
          </w:p>
        </w:tc>
        <w:tc>
          <w:tcPr>
            <w:tcW w:w="80" w:type="dxa"/>
            <w:vAlign w:val="bottom"/>
          </w:tcPr>
          <w:p>
            <w:pPr>
              <w:spacing w:after="0"/>
              <w:rPr>
                <w:sz w:val="21"/>
                <w:szCs w:val="21"/>
                <w:color w:val="auto"/>
              </w:rPr>
            </w:pPr>
          </w:p>
        </w:tc>
      </w:tr>
      <w:tr>
        <w:trPr>
          <w:trHeight w:val="244"/>
        </w:trPr>
        <w:tc>
          <w:tcPr>
            <w:tcW w:w="63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Accrued employee benefits</w:t>
            </w:r>
          </w:p>
        </w:tc>
        <w:tc>
          <w:tcPr>
            <w:tcW w:w="180" w:type="dxa"/>
            <w:vAlign w:val="bottom"/>
            <w:shd w:val="clear" w:color="auto" w:fill="EAEBEC"/>
          </w:tcPr>
          <w:p>
            <w:pPr>
              <w:spacing w:after="0"/>
              <w:rPr>
                <w:sz w:val="21"/>
                <w:szCs w:val="21"/>
                <w:color w:val="auto"/>
              </w:rPr>
            </w:pPr>
          </w:p>
        </w:tc>
        <w:tc>
          <w:tcPr>
            <w:tcW w:w="11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33,984</w:t>
            </w:r>
          </w:p>
        </w:tc>
        <w:tc>
          <w:tcPr>
            <w:tcW w:w="24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1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34,917</w:t>
            </w:r>
          </w:p>
        </w:tc>
        <w:tc>
          <w:tcPr>
            <w:tcW w:w="80" w:type="dxa"/>
            <w:vAlign w:val="bottom"/>
            <w:shd w:val="clear" w:color="auto" w:fill="EAEBEC"/>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operating losses, state tax credit carryforwards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11,829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11,156</w:t>
            </w:r>
          </w:p>
        </w:tc>
        <w:tc>
          <w:tcPr>
            <w:tcW w:w="80" w:type="dxa"/>
            <w:vAlign w:val="bottom"/>
          </w:tcPr>
          <w:p>
            <w:pPr>
              <w:spacing w:after="0"/>
              <w:rPr>
                <w:sz w:val="21"/>
                <w:szCs w:val="21"/>
                <w:color w:val="auto"/>
              </w:rPr>
            </w:pPr>
          </w:p>
        </w:tc>
      </w:tr>
      <w:tr>
        <w:trPr>
          <w:trHeight w:val="224"/>
        </w:trPr>
        <w:tc>
          <w:tcPr>
            <w:tcW w:w="6340" w:type="dxa"/>
            <w:vAlign w:val="bottom"/>
            <w:shd w:val="clear" w:color="auto" w:fill="EAEB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Interest expense limitation carry-forward under</w:t>
            </w:r>
          </w:p>
        </w:tc>
        <w:tc>
          <w:tcPr>
            <w:tcW w:w="180" w:type="dxa"/>
            <w:vAlign w:val="bottom"/>
            <w:shd w:val="clear" w:color="auto" w:fill="EAEBEC"/>
          </w:tcPr>
          <w:p>
            <w:pPr>
              <w:spacing w:after="0"/>
              <w:rPr>
                <w:sz w:val="19"/>
                <w:szCs w:val="19"/>
                <w:color w:val="auto"/>
              </w:rPr>
            </w:pPr>
          </w:p>
        </w:tc>
        <w:tc>
          <w:tcPr>
            <w:tcW w:w="1180" w:type="dxa"/>
            <w:vAlign w:val="bottom"/>
            <w:shd w:val="clear" w:color="auto" w:fill="EAEBEC"/>
          </w:tcPr>
          <w:p>
            <w:pPr>
              <w:spacing w:after="0"/>
              <w:rPr>
                <w:sz w:val="19"/>
                <w:szCs w:val="19"/>
                <w:color w:val="auto"/>
              </w:rPr>
            </w:pPr>
          </w:p>
        </w:tc>
        <w:tc>
          <w:tcPr>
            <w:tcW w:w="240" w:type="dxa"/>
            <w:vAlign w:val="bottom"/>
            <w:shd w:val="clear" w:color="auto" w:fill="EAEBEC"/>
          </w:tcPr>
          <w:p>
            <w:pPr>
              <w:spacing w:after="0"/>
              <w:rPr>
                <w:sz w:val="19"/>
                <w:szCs w:val="19"/>
                <w:color w:val="auto"/>
              </w:rPr>
            </w:pPr>
          </w:p>
        </w:tc>
        <w:tc>
          <w:tcPr>
            <w:tcW w:w="180" w:type="dxa"/>
            <w:vAlign w:val="bottom"/>
            <w:shd w:val="clear" w:color="auto" w:fill="EAEBEC"/>
          </w:tcPr>
          <w:p>
            <w:pPr>
              <w:spacing w:after="0"/>
              <w:rPr>
                <w:sz w:val="19"/>
                <w:szCs w:val="19"/>
                <w:color w:val="auto"/>
              </w:rPr>
            </w:pPr>
          </w:p>
        </w:tc>
        <w:tc>
          <w:tcPr>
            <w:tcW w:w="1160" w:type="dxa"/>
            <w:vAlign w:val="bottom"/>
            <w:shd w:val="clear" w:color="auto" w:fill="EAEBEC"/>
          </w:tcPr>
          <w:p>
            <w:pPr>
              <w:spacing w:after="0"/>
              <w:rPr>
                <w:sz w:val="19"/>
                <w:szCs w:val="19"/>
                <w:color w:val="auto"/>
              </w:rPr>
            </w:pPr>
          </w:p>
        </w:tc>
        <w:tc>
          <w:tcPr>
            <w:tcW w:w="80" w:type="dxa"/>
            <w:vAlign w:val="bottom"/>
            <w:shd w:val="clear" w:color="auto" w:fill="EAEBEC"/>
          </w:tcPr>
          <w:p>
            <w:pPr>
              <w:spacing w:after="0"/>
              <w:rPr>
                <w:sz w:val="19"/>
                <w:szCs w:val="19"/>
                <w:color w:val="auto"/>
              </w:rPr>
            </w:pPr>
          </w:p>
        </w:tc>
      </w:tr>
      <w:tr>
        <w:trPr>
          <w:trHeight w:val="250"/>
        </w:trPr>
        <w:tc>
          <w:tcPr>
            <w:tcW w:w="6340" w:type="dxa"/>
            <w:vAlign w:val="bottom"/>
            <w:shd w:val="clear" w:color="auto" w:fill="EAEBEC"/>
          </w:tcPr>
          <w:p>
            <w:pPr>
              <w:ind w:left="360"/>
              <w:spacing w:after="0"/>
              <w:rPr>
                <w:sz w:val="20"/>
                <w:szCs w:val="20"/>
                <w:color w:val="auto"/>
              </w:rPr>
            </w:pPr>
            <w:r>
              <w:rPr>
                <w:rFonts w:ascii="Times New Roman" w:cs="Times New Roman" w:eastAsia="Times New Roman" w:hAnsi="Times New Roman"/>
                <w:sz w:val="20"/>
                <w:szCs w:val="20"/>
                <w:color w:val="231F20"/>
              </w:rPr>
              <w:t>IRC §163(j)</w:t>
            </w:r>
          </w:p>
        </w:tc>
        <w:tc>
          <w:tcPr>
            <w:tcW w:w="180" w:type="dxa"/>
            <w:vAlign w:val="bottom"/>
            <w:shd w:val="clear" w:color="auto" w:fill="EAEBEC"/>
          </w:tcPr>
          <w:p>
            <w:pPr>
              <w:spacing w:after="0"/>
              <w:rPr>
                <w:sz w:val="21"/>
                <w:szCs w:val="21"/>
                <w:color w:val="auto"/>
              </w:rPr>
            </w:pPr>
          </w:p>
        </w:tc>
        <w:tc>
          <w:tcPr>
            <w:tcW w:w="11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61,185</w:t>
            </w:r>
          </w:p>
        </w:tc>
        <w:tc>
          <w:tcPr>
            <w:tcW w:w="24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1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71,098</w:t>
            </w:r>
          </w:p>
        </w:tc>
        <w:tc>
          <w:tcPr>
            <w:tcW w:w="80" w:type="dxa"/>
            <w:vAlign w:val="bottom"/>
            <w:shd w:val="clear" w:color="auto" w:fill="EAEBEC"/>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Capitalized research and experimental costs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12,038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25,397</w:t>
            </w:r>
          </w:p>
        </w:tc>
        <w:tc>
          <w:tcPr>
            <w:tcW w:w="80" w:type="dxa"/>
            <w:vAlign w:val="bottom"/>
          </w:tcPr>
          <w:p>
            <w:pPr>
              <w:spacing w:after="0"/>
              <w:rPr>
                <w:sz w:val="21"/>
                <w:szCs w:val="21"/>
                <w:color w:val="auto"/>
              </w:rPr>
            </w:pPr>
          </w:p>
        </w:tc>
      </w:tr>
      <w:tr>
        <w:trPr>
          <w:trHeight w:val="244"/>
        </w:trPr>
        <w:tc>
          <w:tcPr>
            <w:tcW w:w="63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Lease-related items</w:t>
            </w:r>
          </w:p>
        </w:tc>
        <w:tc>
          <w:tcPr>
            <w:tcW w:w="180" w:type="dxa"/>
            <w:vAlign w:val="bottom"/>
            <w:shd w:val="clear" w:color="auto" w:fill="EAEBEC"/>
          </w:tcPr>
          <w:p>
            <w:pPr>
              <w:spacing w:after="0"/>
              <w:rPr>
                <w:sz w:val="21"/>
                <w:szCs w:val="21"/>
                <w:color w:val="auto"/>
              </w:rPr>
            </w:pPr>
          </w:p>
        </w:tc>
        <w:tc>
          <w:tcPr>
            <w:tcW w:w="11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351,296</w:t>
            </w:r>
          </w:p>
        </w:tc>
        <w:tc>
          <w:tcPr>
            <w:tcW w:w="24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1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346,120</w:t>
            </w:r>
          </w:p>
        </w:tc>
        <w:tc>
          <w:tcPr>
            <w:tcW w:w="80" w:type="dxa"/>
            <w:vAlign w:val="bottom"/>
            <w:shd w:val="clear" w:color="auto" w:fill="EAEBEC"/>
          </w:tcPr>
          <w:p>
            <w:pPr>
              <w:spacing w:after="0"/>
              <w:rPr>
                <w:sz w:val="21"/>
                <w:szCs w:val="21"/>
                <w:color w:val="auto"/>
              </w:rPr>
            </w:pPr>
          </w:p>
        </w:tc>
      </w:tr>
      <w:tr>
        <w:trPr>
          <w:trHeight w:val="244"/>
        </w:trPr>
        <w:tc>
          <w:tcPr>
            <w:tcW w:w="6340" w:type="dxa"/>
            <w:vAlign w:val="bottom"/>
            <w:tcBorders>
              <w:bottom w:val="single" w:sz="8" w:color="EAEBEC"/>
            </w:tcBorders>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18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3,791</w:t>
            </w:r>
          </w:p>
        </w:tc>
        <w:tc>
          <w:tcPr>
            <w:tcW w:w="240" w:type="dxa"/>
            <w:vAlign w:val="bottom"/>
            <w:tcBorders>
              <w:bottom w:val="single" w:sz="8" w:color="EAEBEC"/>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1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7,580</w:t>
            </w:r>
          </w:p>
        </w:tc>
        <w:tc>
          <w:tcPr>
            <w:tcW w:w="80" w:type="dxa"/>
            <w:vAlign w:val="bottom"/>
            <w:tcBorders>
              <w:bottom w:val="single" w:sz="8" w:color="EAEBEC"/>
            </w:tcBorders>
          </w:tcPr>
          <w:p>
            <w:pPr>
              <w:spacing w:after="0"/>
              <w:rPr>
                <w:sz w:val="21"/>
                <w:szCs w:val="21"/>
                <w:color w:val="auto"/>
              </w:rPr>
            </w:pPr>
          </w:p>
        </w:tc>
      </w:tr>
      <w:tr>
        <w:trPr>
          <w:trHeight w:val="259"/>
        </w:trPr>
        <w:tc>
          <w:tcPr>
            <w:tcW w:w="6340" w:type="dxa"/>
            <w:vAlign w:val="bottom"/>
            <w:tcBorders>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Total deferred tax assets</w:t>
            </w:r>
          </w:p>
        </w:tc>
        <w:tc>
          <w:tcPr>
            <w:tcW w:w="180" w:type="dxa"/>
            <w:vAlign w:val="bottom"/>
            <w:tcBorders>
              <w:bottom w:val="single" w:sz="8" w:color="231F20"/>
            </w:tcBorders>
            <w:shd w:val="clear" w:color="auto" w:fill="EAEBEC"/>
          </w:tcPr>
          <w:p>
            <w:pPr>
              <w:spacing w:after="0"/>
              <w:rPr>
                <w:sz w:val="22"/>
                <w:szCs w:val="22"/>
                <w:color w:val="auto"/>
              </w:rPr>
            </w:pPr>
          </w:p>
        </w:tc>
        <w:tc>
          <w:tcPr>
            <w:tcW w:w="11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494,728</w:t>
            </w:r>
          </w:p>
        </w:tc>
        <w:tc>
          <w:tcPr>
            <w:tcW w:w="240" w:type="dxa"/>
            <w:vAlign w:val="bottom"/>
            <w:tcBorders>
              <w:bottom w:val="single" w:sz="8" w:color="EAEBEC"/>
            </w:tcBorders>
            <w:shd w:val="clear" w:color="auto" w:fill="EAEBEC"/>
          </w:tcPr>
          <w:p>
            <w:pPr>
              <w:spacing w:after="0"/>
              <w:rPr>
                <w:sz w:val="22"/>
                <w:szCs w:val="22"/>
                <w:color w:val="auto"/>
              </w:rPr>
            </w:pPr>
          </w:p>
        </w:tc>
        <w:tc>
          <w:tcPr>
            <w:tcW w:w="180" w:type="dxa"/>
            <w:vAlign w:val="bottom"/>
            <w:tcBorders>
              <w:bottom w:val="single" w:sz="8" w:color="231F20"/>
            </w:tcBorders>
            <w:shd w:val="clear" w:color="auto" w:fill="EAEBEC"/>
          </w:tcPr>
          <w:p>
            <w:pPr>
              <w:spacing w:after="0"/>
              <w:rPr>
                <w:sz w:val="22"/>
                <w:szCs w:val="22"/>
                <w:color w:val="auto"/>
              </w:rPr>
            </w:pPr>
          </w:p>
        </w:tc>
        <w:tc>
          <w:tcPr>
            <w:tcW w:w="11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522,483</w:t>
            </w:r>
          </w:p>
        </w:tc>
        <w:tc>
          <w:tcPr>
            <w:tcW w:w="80" w:type="dxa"/>
            <w:vAlign w:val="bottom"/>
            <w:tcBorders>
              <w:bottom w:val="single" w:sz="8" w:color="EAEBEC"/>
            </w:tcBorders>
            <w:shd w:val="clear" w:color="auto" w:fill="EAEBEC"/>
          </w:tcPr>
          <w:p>
            <w:pPr>
              <w:spacing w:after="0"/>
              <w:rPr>
                <w:sz w:val="22"/>
                <w:szCs w:val="22"/>
                <w:color w:val="auto"/>
              </w:rPr>
            </w:pPr>
          </w:p>
        </w:tc>
      </w:tr>
      <w:tr>
        <w:trPr>
          <w:trHeight w:val="219"/>
        </w:trPr>
        <w:tc>
          <w:tcPr>
            <w:tcW w:w="6340" w:type="dxa"/>
            <w:vAlign w:val="bottom"/>
            <w:tcBorders>
              <w:bottom w:val="single" w:sz="8" w:color="EAEBEC"/>
            </w:tcBorders>
          </w:tcPr>
          <w:p>
            <w:pPr>
              <w:ind w:left="200"/>
              <w:spacing w:after="0" w:line="219" w:lineRule="exact"/>
              <w:rPr>
                <w:sz w:val="20"/>
                <w:szCs w:val="20"/>
                <w:color w:val="auto"/>
              </w:rPr>
            </w:pPr>
            <w:r>
              <w:rPr>
                <w:rFonts w:ascii="Times New Roman" w:cs="Times New Roman" w:eastAsia="Times New Roman" w:hAnsi="Times New Roman"/>
                <w:sz w:val="20"/>
                <w:szCs w:val="20"/>
                <w:color w:val="231F20"/>
              </w:rPr>
              <w:t>Valuation allowance</w:t>
            </w:r>
          </w:p>
        </w:tc>
        <w:tc>
          <w:tcPr>
            <w:tcW w:w="180" w:type="dxa"/>
            <w:vAlign w:val="bottom"/>
            <w:tcBorders>
              <w:bottom w:val="single" w:sz="8" w:color="231F20"/>
            </w:tcBorders>
          </w:tcPr>
          <w:p>
            <w:pPr>
              <w:spacing w:after="0"/>
              <w:rPr>
                <w:sz w:val="19"/>
                <w:szCs w:val="19"/>
                <w:color w:val="auto"/>
              </w:rPr>
            </w:pPr>
          </w:p>
        </w:tc>
        <w:tc>
          <w:tcPr>
            <w:tcW w:w="11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(1,904)</w:t>
            </w:r>
          </w:p>
        </w:tc>
        <w:tc>
          <w:tcPr>
            <w:tcW w:w="240" w:type="dxa"/>
            <w:vAlign w:val="bottom"/>
            <w:tcBorders>
              <w:bottom w:val="single" w:sz="8" w:color="EAEBEC"/>
            </w:tcBorders>
          </w:tcPr>
          <w:p>
            <w:pPr>
              <w:spacing w:after="0"/>
              <w:rPr>
                <w:sz w:val="19"/>
                <w:szCs w:val="19"/>
                <w:color w:val="auto"/>
              </w:rPr>
            </w:pPr>
          </w:p>
        </w:tc>
        <w:tc>
          <w:tcPr>
            <w:tcW w:w="180" w:type="dxa"/>
            <w:vAlign w:val="bottom"/>
            <w:tcBorders>
              <w:bottom w:val="single" w:sz="8" w:color="231F20"/>
            </w:tcBorders>
          </w:tcPr>
          <w:p>
            <w:pPr>
              <w:spacing w:after="0"/>
              <w:rPr>
                <w:sz w:val="19"/>
                <w:szCs w:val="19"/>
                <w:color w:val="auto"/>
              </w:rPr>
            </w:pPr>
          </w:p>
        </w:tc>
        <w:tc>
          <w:tcPr>
            <w:tcW w:w="11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(1,920)</w:t>
            </w:r>
          </w:p>
        </w:tc>
        <w:tc>
          <w:tcPr>
            <w:tcW w:w="80" w:type="dxa"/>
            <w:vAlign w:val="bottom"/>
            <w:tcBorders>
              <w:bottom w:val="single" w:sz="8" w:color="EAEBEC"/>
            </w:tcBorders>
          </w:tcPr>
          <w:p>
            <w:pPr>
              <w:spacing w:after="0"/>
              <w:rPr>
                <w:sz w:val="19"/>
                <w:szCs w:val="19"/>
                <w:color w:val="auto"/>
              </w:rPr>
            </w:pPr>
          </w:p>
        </w:tc>
      </w:tr>
      <w:tr>
        <w:trPr>
          <w:trHeight w:val="239"/>
        </w:trPr>
        <w:tc>
          <w:tcPr>
            <w:tcW w:w="63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Net deferred tax assets</w:t>
            </w:r>
          </w:p>
        </w:tc>
        <w:tc>
          <w:tcPr>
            <w:tcW w:w="180" w:type="dxa"/>
            <w:vAlign w:val="bottom"/>
            <w:shd w:val="clear" w:color="auto" w:fill="EAEBEC"/>
          </w:tcPr>
          <w:p>
            <w:pPr>
              <w:spacing w:after="0"/>
              <w:rPr>
                <w:sz w:val="20"/>
                <w:szCs w:val="20"/>
                <w:color w:val="auto"/>
              </w:rPr>
            </w:pPr>
          </w:p>
        </w:tc>
        <w:tc>
          <w:tcPr>
            <w:tcW w:w="11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492,824</w:t>
            </w:r>
          </w:p>
        </w:tc>
        <w:tc>
          <w:tcPr>
            <w:tcW w:w="240" w:type="dxa"/>
            <w:vAlign w:val="bottom"/>
            <w:shd w:val="clear" w:color="auto" w:fill="EAEBEC"/>
          </w:tcPr>
          <w:p>
            <w:pPr>
              <w:spacing w:after="0"/>
              <w:rPr>
                <w:sz w:val="20"/>
                <w:szCs w:val="20"/>
                <w:color w:val="auto"/>
              </w:rPr>
            </w:pPr>
          </w:p>
        </w:tc>
        <w:tc>
          <w:tcPr>
            <w:tcW w:w="180" w:type="dxa"/>
            <w:vAlign w:val="bottom"/>
            <w:shd w:val="clear" w:color="auto" w:fill="EAEBEC"/>
          </w:tcPr>
          <w:p>
            <w:pPr>
              <w:spacing w:after="0"/>
              <w:rPr>
                <w:sz w:val="20"/>
                <w:szCs w:val="20"/>
                <w:color w:val="auto"/>
              </w:rPr>
            </w:pPr>
          </w:p>
        </w:tc>
        <w:tc>
          <w:tcPr>
            <w:tcW w:w="1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520,563</w:t>
            </w:r>
          </w:p>
        </w:tc>
        <w:tc>
          <w:tcPr>
            <w:tcW w:w="80" w:type="dxa"/>
            <w:vAlign w:val="bottom"/>
            <w:shd w:val="clear" w:color="auto" w:fill="EAEBEC"/>
          </w:tcPr>
          <w:p>
            <w:pPr>
              <w:spacing w:after="0"/>
              <w:rPr>
                <w:sz w:val="20"/>
                <w:szCs w:val="20"/>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Deferred tax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3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Fixed assets</w:t>
            </w:r>
          </w:p>
        </w:tc>
        <w:tc>
          <w:tcPr>
            <w:tcW w:w="180" w:type="dxa"/>
            <w:vAlign w:val="bottom"/>
            <w:shd w:val="clear" w:color="auto" w:fill="EAEBEC"/>
          </w:tcPr>
          <w:p>
            <w:pPr>
              <w:spacing w:after="0"/>
              <w:rPr>
                <w:sz w:val="21"/>
                <w:szCs w:val="21"/>
                <w:color w:val="auto"/>
              </w:rPr>
            </w:pPr>
          </w:p>
        </w:tc>
        <w:tc>
          <w:tcPr>
            <w:tcW w:w="142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(101,707)</w:t>
            </w:r>
          </w:p>
        </w:tc>
        <w:tc>
          <w:tcPr>
            <w:tcW w:w="180" w:type="dxa"/>
            <w:vAlign w:val="bottom"/>
            <w:shd w:val="clear" w:color="auto" w:fill="EAEBEC"/>
          </w:tcPr>
          <w:p>
            <w:pPr>
              <w:spacing w:after="0"/>
              <w:rPr>
                <w:sz w:val="21"/>
                <w:szCs w:val="21"/>
                <w:color w:val="auto"/>
              </w:rPr>
            </w:pPr>
          </w:p>
        </w:tc>
        <w:tc>
          <w:tcPr>
            <w:tcW w:w="124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(113,955)</w:t>
            </w: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Intangible assets</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(257,613)</w:t>
            </w:r>
          </w:p>
        </w:tc>
        <w:tc>
          <w:tcPr>
            <w:tcW w:w="18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(253,749)</w:t>
            </w:r>
          </w:p>
        </w:tc>
      </w:tr>
      <w:tr>
        <w:trPr>
          <w:trHeight w:val="244"/>
        </w:trPr>
        <w:tc>
          <w:tcPr>
            <w:tcW w:w="63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Debt restructuring</w:t>
            </w:r>
          </w:p>
        </w:tc>
        <w:tc>
          <w:tcPr>
            <w:tcW w:w="180" w:type="dxa"/>
            <w:vAlign w:val="bottom"/>
            <w:shd w:val="clear" w:color="auto" w:fill="EAEBEC"/>
          </w:tcPr>
          <w:p>
            <w:pPr>
              <w:spacing w:after="0"/>
              <w:rPr>
                <w:sz w:val="21"/>
                <w:szCs w:val="21"/>
                <w:color w:val="auto"/>
              </w:rPr>
            </w:pPr>
          </w:p>
        </w:tc>
        <w:tc>
          <w:tcPr>
            <w:tcW w:w="142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(1,089)</w:t>
            </w:r>
          </w:p>
        </w:tc>
        <w:tc>
          <w:tcPr>
            <w:tcW w:w="180" w:type="dxa"/>
            <w:vAlign w:val="bottom"/>
            <w:shd w:val="clear" w:color="auto" w:fill="EAEBEC"/>
          </w:tcPr>
          <w:p>
            <w:pPr>
              <w:spacing w:after="0"/>
              <w:rPr>
                <w:sz w:val="21"/>
                <w:szCs w:val="21"/>
                <w:color w:val="auto"/>
              </w:rPr>
            </w:pPr>
          </w:p>
        </w:tc>
        <w:tc>
          <w:tcPr>
            <w:tcW w:w="124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(1,238)</w:t>
            </w: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Lease-related items</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(332,421)</w:t>
            </w:r>
          </w:p>
        </w:tc>
        <w:tc>
          <w:tcPr>
            <w:tcW w:w="18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(336,050)</w:t>
            </w:r>
          </w:p>
        </w:tc>
      </w:tr>
      <w:tr>
        <w:trPr>
          <w:trHeight w:val="244"/>
        </w:trPr>
        <w:tc>
          <w:tcPr>
            <w:tcW w:w="63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Investments in joint ventures</w:t>
            </w:r>
          </w:p>
        </w:tc>
        <w:tc>
          <w:tcPr>
            <w:tcW w:w="180" w:type="dxa"/>
            <w:vAlign w:val="bottom"/>
            <w:shd w:val="clear" w:color="auto" w:fill="EAEBEC"/>
          </w:tcPr>
          <w:p>
            <w:pPr>
              <w:spacing w:after="0"/>
              <w:rPr>
                <w:sz w:val="21"/>
                <w:szCs w:val="21"/>
                <w:color w:val="auto"/>
              </w:rPr>
            </w:pPr>
          </w:p>
        </w:tc>
        <w:tc>
          <w:tcPr>
            <w:tcW w:w="142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(34,020)</w:t>
            </w:r>
          </w:p>
        </w:tc>
        <w:tc>
          <w:tcPr>
            <w:tcW w:w="180" w:type="dxa"/>
            <w:vAlign w:val="bottom"/>
            <w:shd w:val="clear" w:color="auto" w:fill="EAEBEC"/>
          </w:tcPr>
          <w:p>
            <w:pPr>
              <w:spacing w:after="0"/>
              <w:rPr>
                <w:sz w:val="21"/>
                <w:szCs w:val="21"/>
                <w:color w:val="auto"/>
              </w:rPr>
            </w:pPr>
          </w:p>
        </w:tc>
        <w:tc>
          <w:tcPr>
            <w:tcW w:w="124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(31,308)</w:t>
            </w: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(885)</w:t>
            </w:r>
          </w:p>
        </w:tc>
        <w:tc>
          <w:tcPr>
            <w:tcW w:w="18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(1,975)</w:t>
            </w:r>
          </w:p>
        </w:tc>
      </w:tr>
      <w:tr>
        <w:trPr>
          <w:trHeight w:val="259"/>
        </w:trPr>
        <w:tc>
          <w:tcPr>
            <w:tcW w:w="6340" w:type="dxa"/>
            <w:vAlign w:val="bottom"/>
            <w:tcBorders>
              <w:top w:val="single" w:sz="8" w:color="EAEBEC"/>
              <w:bottom w:val="single" w:sz="8" w:color="EAEBEC"/>
            </w:tcBorders>
            <w:shd w:val="clear" w:color="auto" w:fill="EAEBEC"/>
          </w:tcPr>
          <w:p>
            <w:pPr>
              <w:spacing w:after="0"/>
              <w:rPr>
                <w:sz w:val="20"/>
                <w:szCs w:val="20"/>
                <w:color w:val="auto"/>
              </w:rPr>
            </w:pPr>
            <w:r>
              <w:rPr>
                <w:rFonts w:ascii="Times New Roman" w:cs="Times New Roman" w:eastAsia="Times New Roman" w:hAnsi="Times New Roman"/>
                <w:sz w:val="20"/>
                <w:szCs w:val="20"/>
                <w:color w:val="231F20"/>
              </w:rPr>
              <w:t>Total deferred tax liabilities</w:t>
            </w:r>
          </w:p>
        </w:tc>
        <w:tc>
          <w:tcPr>
            <w:tcW w:w="180" w:type="dxa"/>
            <w:vAlign w:val="bottom"/>
            <w:tcBorders>
              <w:top w:val="single" w:sz="8" w:color="231F20"/>
              <w:bottom w:val="single" w:sz="8" w:color="231F20"/>
            </w:tcBorders>
            <w:shd w:val="clear" w:color="auto" w:fill="EAEBEC"/>
          </w:tcPr>
          <w:p>
            <w:pPr>
              <w:spacing w:after="0"/>
              <w:rPr>
                <w:sz w:val="22"/>
                <w:szCs w:val="22"/>
                <w:color w:val="auto"/>
              </w:rPr>
            </w:pPr>
          </w:p>
        </w:tc>
        <w:tc>
          <w:tcPr>
            <w:tcW w:w="118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(727,735)</w:t>
            </w:r>
          </w:p>
        </w:tc>
        <w:tc>
          <w:tcPr>
            <w:tcW w:w="240" w:type="dxa"/>
            <w:vAlign w:val="bottom"/>
            <w:tcBorders>
              <w:top w:val="single" w:sz="8" w:color="EAEBEC"/>
              <w:bottom w:val="single" w:sz="8" w:color="EAEBEC"/>
            </w:tcBorders>
            <w:shd w:val="clear" w:color="auto" w:fill="EAEBEC"/>
          </w:tcPr>
          <w:p>
            <w:pPr>
              <w:spacing w:after="0"/>
              <w:rPr>
                <w:sz w:val="22"/>
                <w:szCs w:val="22"/>
                <w:color w:val="auto"/>
              </w:rPr>
            </w:pPr>
          </w:p>
        </w:tc>
        <w:tc>
          <w:tcPr>
            <w:tcW w:w="180" w:type="dxa"/>
            <w:vAlign w:val="bottom"/>
            <w:tcBorders>
              <w:top w:val="single" w:sz="8" w:color="231F20"/>
              <w:bottom w:val="single" w:sz="8" w:color="231F20"/>
            </w:tcBorders>
            <w:shd w:val="clear" w:color="auto" w:fill="EAEBEC"/>
          </w:tcPr>
          <w:p>
            <w:pPr>
              <w:spacing w:after="0"/>
              <w:rPr>
                <w:sz w:val="22"/>
                <w:szCs w:val="22"/>
                <w:color w:val="auto"/>
              </w:rPr>
            </w:pPr>
          </w:p>
        </w:tc>
        <w:tc>
          <w:tcPr>
            <w:tcW w:w="1160" w:type="dxa"/>
            <w:vAlign w:val="bottom"/>
            <w:tcBorders>
              <w:top w:val="single" w:sz="8" w:color="231F20"/>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(738,275)</w:t>
            </w:r>
          </w:p>
        </w:tc>
        <w:tc>
          <w:tcPr>
            <w:tcW w:w="80" w:type="dxa"/>
            <w:vAlign w:val="bottom"/>
            <w:tcBorders>
              <w:top w:val="single" w:sz="8" w:color="EAEBEC"/>
              <w:bottom w:val="single" w:sz="8" w:color="EAEBEC"/>
            </w:tcBorders>
            <w:shd w:val="clear" w:color="auto" w:fill="EAEBEC"/>
          </w:tcPr>
          <w:p>
            <w:pPr>
              <w:spacing w:after="0"/>
              <w:rPr>
                <w:sz w:val="22"/>
                <w:szCs w:val="22"/>
                <w:color w:val="auto"/>
              </w:rPr>
            </w:pPr>
          </w:p>
        </w:tc>
      </w:tr>
      <w:tr>
        <w:trPr>
          <w:trHeight w:val="219"/>
        </w:trPr>
        <w:tc>
          <w:tcPr>
            <w:tcW w:w="6340" w:type="dxa"/>
            <w:vAlign w:val="bottom"/>
          </w:tcPr>
          <w:p>
            <w:pPr>
              <w:spacing w:after="0"/>
              <w:rPr>
                <w:sz w:val="19"/>
                <w:szCs w:val="19"/>
                <w:color w:val="auto"/>
              </w:rPr>
            </w:pPr>
          </w:p>
        </w:tc>
        <w:tc>
          <w:tcPr>
            <w:tcW w:w="1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(234,911)</w:t>
            </w:r>
          </w:p>
        </w:tc>
        <w:tc>
          <w:tcPr>
            <w:tcW w:w="240" w:type="dxa"/>
            <w:vAlign w:val="bottom"/>
          </w:tcPr>
          <w:p>
            <w:pPr>
              <w:spacing w:after="0"/>
              <w:rPr>
                <w:sz w:val="19"/>
                <w:szCs w:val="19"/>
                <w:color w:val="auto"/>
              </w:rPr>
            </w:pPr>
          </w:p>
        </w:tc>
        <w:tc>
          <w:tcPr>
            <w:tcW w:w="1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(217,712)</w:t>
            </w:r>
          </w:p>
        </w:tc>
        <w:tc>
          <w:tcPr>
            <w:tcW w:w="8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1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9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In assessing the realizability of deferred tax assets, the Company considers whether it is more likely than not that some portion or all the deferred tax assets will not be realized. With the exception to certain state net operating losses discussed below, management believes that it is more likely than not that the Company will realize the benefits of these deductible differences. This is based upon future reversals of existing taxable temporary differences over the periods in which the deferred tax assets are deductible.</w:t>
      </w:r>
    </w:p>
    <w:p>
      <w:pPr>
        <w:spacing w:after="0" w:line="197"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31F20"/>
        </w:rPr>
        <w:t>As of January 31, 2026, the Company has recorded a deferred tax asset of $5.7 million reflecting the benefit of $101.4 million in state income tax net operating loss carryforwards, which will begin to expire in fiscal 2026. The</w:t>
      </w:r>
    </w:p>
    <w:p>
      <w:pPr>
        <w:sectPr>
          <w:pgSz w:w="11880" w:h="15480" w:orient="portrait"/>
          <w:cols w:equalWidth="0" w:num="1">
            <w:col w:w="9360"/>
          </w:cols>
          <w:pgMar w:left="1260" w:top="1254" w:right="126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94</w:t>
      </w:r>
    </w:p>
    <w:p>
      <w:pPr>
        <w:sectPr>
          <w:pgSz w:w="11880" w:h="15480" w:orient="portrait"/>
          <w:cols w:equalWidth="0" w:num="1">
            <w:col w:w="9360"/>
          </w:cols>
          <w:pgMar w:left="1260" w:top="1254" w:right="1260" w:bottom="0" w:gutter="0" w:footer="0" w:header="0"/>
          <w:type w:val="continuous"/>
        </w:sectPr>
      </w:pPr>
    </w:p>
    <w:bookmarkStart w:id="104" w:name="page105"/>
    <w:bookmarkEnd w:id="104"/>
    <w:p>
      <w:pPr>
        <w:spacing w:after="0" w:line="252" w:lineRule="auto"/>
        <w:rPr>
          <w:sz w:val="20"/>
          <w:szCs w:val="20"/>
          <w:color w:val="auto"/>
        </w:rPr>
      </w:pPr>
      <w:r>
        <w:rPr>
          <w:rFonts w:ascii="Times New Roman" w:cs="Times New Roman" w:eastAsia="Times New Roman" w:hAnsi="Times New Roman"/>
          <w:sz w:val="20"/>
          <w:szCs w:val="20"/>
          <w:color w:val="231F20"/>
        </w:rPr>
        <w:t>Company believes that it is more likely than not that a portion of the state net operating loss carryforward will not be realized and recorded a valuation allowance of $1.9 million on the deferred tax asset related to these state net operating loss carryforwards as of January 31, 2026. If or when recognized, the tax benefits related to any reversal of the valuation allowance on deferred tax assets is accounted for as a reduction of income tax expense.</w:t>
      </w:r>
    </w:p>
    <w:p>
      <w:pPr>
        <w:spacing w:after="0" w:line="194"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31F20"/>
        </w:rPr>
        <w:t>The Company has recorded a net deferred tax asset of $6.1 million reflecting the gross benefit of state income tax credits totaling $0.3 million and $7.4 million in Georgia and California, respectively. The Georgia credits will begin to expire in 2026. The California credits have an unlimited carryforward period.</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The Company's interest expense carryforward of $189.3 million has an unlimited carryforward period.</w:t>
      </w:r>
    </w:p>
    <w:p>
      <w:pPr>
        <w:spacing w:after="0" w:line="24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31F20"/>
        </w:rPr>
        <w:t>Reserves are established when positions are “more likely than not” to not be sustained if challenged. Reserves are adjusted at each reporting period to reflect the impact of audit settlements, expiration of statutes of limitation, developments in the tax law and ongoing discussions with the tax authorities. Accrued interest and penalties associated with uncertain tax positions are recognized as part of the income tax provision.</w:t>
      </w:r>
    </w:p>
    <w:p>
      <w:pPr>
        <w:spacing w:after="0" w:line="194"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31F20"/>
        </w:rPr>
        <w:t>The Company has approximately $19.7 million of unrecognized tax benefits as of January 31, 2026, of which $4.2 million, if recognized, would impact the effective tax rate and $15.5 million would result in an adjustment to the net deferred tax liability.</w:t>
      </w:r>
    </w:p>
    <w:p>
      <w:pPr>
        <w:spacing w:after="0" w:line="188" w:lineRule="exact"/>
        <w:rPr>
          <w:sz w:val="20"/>
          <w:szCs w:val="20"/>
          <w:color w:val="auto"/>
        </w:rPr>
      </w:pPr>
    </w:p>
    <w:p>
      <w:pPr>
        <w:ind w:right="940" w:firstLine="490"/>
        <w:spacing w:after="0" w:line="277" w:lineRule="auto"/>
        <w:rPr>
          <w:sz w:val="20"/>
          <w:szCs w:val="20"/>
          <w:color w:val="auto"/>
        </w:rPr>
      </w:pPr>
      <w:r>
        <w:rPr>
          <w:rFonts w:ascii="Times New Roman" w:cs="Times New Roman" w:eastAsia="Times New Roman" w:hAnsi="Times New Roman"/>
          <w:sz w:val="20"/>
          <w:szCs w:val="20"/>
          <w:color w:val="231F20"/>
        </w:rPr>
        <w:t>A reconciliation of the beginning and ending amount of unrecognized tax benefits, is as follows (in thousands):</w:t>
      </w:r>
    </w:p>
    <w:p>
      <w:pPr>
        <w:spacing w:after="0" w:line="173"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207"/>
              <w:spacing w:after="0"/>
              <w:rPr>
                <w:sz w:val="20"/>
                <w:szCs w:val="20"/>
                <w:color w:val="auto"/>
              </w:rPr>
            </w:pPr>
            <w:r>
              <w:rPr>
                <w:rFonts w:ascii="Times New Roman" w:cs="Times New Roman" w:eastAsia="Times New Roman" w:hAnsi="Times New Roman"/>
                <w:sz w:val="16"/>
                <w:szCs w:val="16"/>
                <w:b w:val="1"/>
                <w:bCs w:val="1"/>
                <w:color w:val="231F20"/>
              </w:rPr>
              <w:t>January 31,</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27"/>
              <w:spacing w:after="0"/>
              <w:rPr>
                <w:sz w:val="20"/>
                <w:szCs w:val="20"/>
                <w:color w:val="auto"/>
              </w:rPr>
            </w:pPr>
            <w:r>
              <w:rPr>
                <w:rFonts w:ascii="Times New Roman" w:cs="Times New Roman" w:eastAsia="Times New Roman" w:hAnsi="Times New Roman"/>
                <w:sz w:val="16"/>
                <w:szCs w:val="16"/>
                <w:b w:val="1"/>
                <w:bCs w:val="1"/>
                <w:color w:val="231F20"/>
              </w:rPr>
              <w:t>February 1,</w:t>
            </w:r>
          </w:p>
        </w:tc>
        <w:tc>
          <w:tcPr>
            <w:tcW w:w="60" w:type="dxa"/>
            <w:vAlign w:val="bottom"/>
          </w:tcPr>
          <w:p>
            <w:pPr>
              <w:spacing w:after="0"/>
              <w:rPr>
                <w:sz w:val="16"/>
                <w:szCs w:val="16"/>
                <w:color w:val="auto"/>
              </w:rPr>
            </w:pPr>
          </w:p>
        </w:tc>
      </w:tr>
      <w:tr>
        <w:trPr>
          <w:trHeight w:val="203"/>
        </w:trPr>
        <w:tc>
          <w:tcPr>
            <w:tcW w:w="5260" w:type="dxa"/>
            <w:vAlign w:val="bottom"/>
            <w:tcBorders>
              <w:bottom w:val="single" w:sz="8" w:color="EAEBEC"/>
            </w:tcBorders>
          </w:tcPr>
          <w:p>
            <w:pPr>
              <w:spacing w:after="0"/>
              <w:rPr>
                <w:sz w:val="17"/>
                <w:szCs w:val="17"/>
                <w:color w:val="auto"/>
              </w:rPr>
            </w:pPr>
          </w:p>
        </w:tc>
        <w:tc>
          <w:tcPr>
            <w:tcW w:w="20" w:type="dxa"/>
            <w:vAlign w:val="bottom"/>
            <w:tcBorders>
              <w:bottom w:val="single" w:sz="8" w:color="EAEBEC"/>
            </w:tcBorders>
          </w:tcPr>
          <w:p>
            <w:pPr>
              <w:spacing w:after="0"/>
              <w:rPr>
                <w:sz w:val="17"/>
                <w:szCs w:val="17"/>
                <w:color w:val="auto"/>
              </w:rPr>
            </w:pPr>
          </w:p>
        </w:tc>
        <w:tc>
          <w:tcPr>
            <w:tcW w:w="16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jc w:val="right"/>
              <w:ind w:right="447"/>
              <w:spacing w:after="0"/>
              <w:rPr>
                <w:sz w:val="20"/>
                <w:szCs w:val="20"/>
                <w:color w:val="auto"/>
              </w:rPr>
            </w:pPr>
            <w:r>
              <w:rPr>
                <w:rFonts w:ascii="Times New Roman" w:cs="Times New Roman" w:eastAsia="Times New Roman" w:hAnsi="Times New Roman"/>
                <w:sz w:val="16"/>
                <w:szCs w:val="16"/>
                <w:b w:val="1"/>
                <w:bCs w:val="1"/>
                <w:color w:val="231F20"/>
              </w:rPr>
              <w:t>2026</w:t>
            </w:r>
          </w:p>
        </w:tc>
        <w:tc>
          <w:tcPr>
            <w:tcW w:w="380" w:type="dxa"/>
            <w:vAlign w:val="bottom"/>
            <w:tcBorders>
              <w:bottom w:val="single" w:sz="8" w:color="EAEBEC"/>
            </w:tcBorders>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231F20"/>
              </w:rPr>
              <w:t>2025</w:t>
            </w:r>
          </w:p>
        </w:tc>
        <w:tc>
          <w:tcPr>
            <w:tcW w:w="60" w:type="dxa"/>
            <w:vAlign w:val="bottom"/>
            <w:tcBorders>
              <w:bottom w:val="single" w:sz="8" w:color="EAEBEC"/>
            </w:tcBorders>
          </w:tcPr>
          <w:p>
            <w:pPr>
              <w:spacing w:after="0"/>
              <w:rPr>
                <w:sz w:val="17"/>
                <w:szCs w:val="17"/>
                <w:color w:val="auto"/>
              </w:rPr>
            </w:pPr>
          </w:p>
        </w:tc>
      </w:tr>
      <w:tr>
        <w:trPr>
          <w:trHeight w:val="239"/>
        </w:trPr>
        <w:tc>
          <w:tcPr>
            <w:tcW w:w="526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Beginning balance</w:t>
            </w:r>
          </w:p>
        </w:tc>
        <w:tc>
          <w:tcPr>
            <w:tcW w:w="20" w:type="dxa"/>
            <w:vAlign w:val="bottom"/>
            <w:shd w:val="clear" w:color="auto" w:fill="EAEBEC"/>
          </w:tcPr>
          <w:p>
            <w:pPr>
              <w:spacing w:after="0"/>
              <w:rPr>
                <w:sz w:val="20"/>
                <w:szCs w:val="20"/>
                <w:color w:val="auto"/>
              </w:rPr>
            </w:pPr>
          </w:p>
        </w:tc>
        <w:tc>
          <w:tcPr>
            <w:tcW w:w="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16,421</w:t>
            </w:r>
          </w:p>
        </w:tc>
        <w:tc>
          <w:tcPr>
            <w:tcW w:w="380" w:type="dxa"/>
            <w:vAlign w:val="bottom"/>
            <w:shd w:val="clear" w:color="auto" w:fill="EAEBEC"/>
          </w:tcPr>
          <w:p>
            <w:pPr>
              <w:spacing w:after="0"/>
              <w:rPr>
                <w:sz w:val="20"/>
                <w:szCs w:val="20"/>
                <w:color w:val="auto"/>
              </w:rPr>
            </w:pPr>
          </w:p>
        </w:tc>
        <w:tc>
          <w:tcPr>
            <w:tcW w:w="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16,421</w:t>
            </w:r>
          </w:p>
        </w:tc>
        <w:tc>
          <w:tcPr>
            <w:tcW w:w="60" w:type="dxa"/>
            <w:vAlign w:val="bottom"/>
            <w:shd w:val="clear" w:color="auto" w:fill="EAEBEC"/>
          </w:tcPr>
          <w:p>
            <w:pPr>
              <w:spacing w:after="0"/>
              <w:rPr>
                <w:sz w:val="20"/>
                <w:szCs w:val="20"/>
                <w:color w:val="auto"/>
              </w:rPr>
            </w:pPr>
          </w:p>
        </w:tc>
      </w:tr>
      <w:tr>
        <w:trPr>
          <w:trHeight w:val="244"/>
        </w:trPr>
        <w:tc>
          <w:tcPr>
            <w:tcW w:w="52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Additions for tax positions taken in prior years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3,305</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44"/>
        </w:trPr>
        <w:tc>
          <w:tcPr>
            <w:tcW w:w="526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Decreases related to lapse of statute limitation</w:t>
            </w:r>
          </w:p>
        </w:tc>
        <w:tc>
          <w:tcPr>
            <w:tcW w:w="20" w:type="dxa"/>
            <w:vAlign w:val="bottom"/>
            <w:shd w:val="clear" w:color="auto" w:fill="EAEBEC"/>
          </w:tcPr>
          <w:p>
            <w:pPr>
              <w:spacing w:after="0"/>
              <w:rPr>
                <w:sz w:val="21"/>
                <w:szCs w:val="21"/>
                <w:color w:val="auto"/>
              </w:rPr>
            </w:pPr>
          </w:p>
        </w:tc>
        <w:tc>
          <w:tcPr>
            <w:tcW w:w="160" w:type="dxa"/>
            <w:vAlign w:val="bottom"/>
            <w:tcBorders>
              <w:bottom w:val="single" w:sz="8" w:color="231F20"/>
            </w:tcBorders>
            <w:shd w:val="clear" w:color="auto" w:fill="EAEBEC"/>
          </w:tcPr>
          <w:p>
            <w:pPr>
              <w:spacing w:after="0"/>
              <w:rPr>
                <w:sz w:val="21"/>
                <w:szCs w:val="21"/>
                <w:color w:val="auto"/>
              </w:rPr>
            </w:pPr>
          </w:p>
        </w:tc>
        <w:tc>
          <w:tcPr>
            <w:tcW w:w="120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380" w:type="dxa"/>
            <w:vAlign w:val="bottom"/>
            <w:shd w:val="clear" w:color="auto" w:fill="EAEBEC"/>
          </w:tcPr>
          <w:p>
            <w:pPr>
              <w:spacing w:after="0"/>
              <w:rPr>
                <w:sz w:val="21"/>
                <w:szCs w:val="21"/>
                <w:color w:val="auto"/>
              </w:rPr>
            </w:pPr>
          </w:p>
        </w:tc>
        <w:tc>
          <w:tcPr>
            <w:tcW w:w="200" w:type="dxa"/>
            <w:vAlign w:val="bottom"/>
            <w:tcBorders>
              <w:bottom w:val="single" w:sz="8" w:color="231F20"/>
            </w:tcBorders>
            <w:shd w:val="clear" w:color="auto" w:fill="EAEBEC"/>
          </w:tcPr>
          <w:p>
            <w:pPr>
              <w:spacing w:after="0"/>
              <w:rPr>
                <w:sz w:val="21"/>
                <w:szCs w:val="21"/>
                <w:color w:val="auto"/>
              </w:rPr>
            </w:pPr>
          </w:p>
        </w:tc>
        <w:tc>
          <w:tcPr>
            <w:tcW w:w="124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shd w:val="clear" w:color="auto" w:fill="EAEBEC"/>
          </w:tcPr>
          <w:p>
            <w:pPr>
              <w:spacing w:after="0"/>
              <w:rPr>
                <w:sz w:val="21"/>
                <w:szCs w:val="21"/>
                <w:color w:val="auto"/>
              </w:rPr>
            </w:pP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231F20"/>
              </w:rPr>
              <w:t>Ending balance</w:t>
            </w:r>
          </w:p>
        </w:tc>
        <w:tc>
          <w:tcPr>
            <w:tcW w:w="20" w:type="dxa"/>
            <w:vAlign w:val="bottom"/>
          </w:tcPr>
          <w:p>
            <w:pPr>
              <w:spacing w:after="0"/>
              <w:rPr>
                <w:sz w:val="20"/>
                <w:szCs w:val="20"/>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19,726</w:t>
            </w:r>
          </w:p>
        </w:tc>
        <w:tc>
          <w:tcPr>
            <w:tcW w:w="380" w:type="dxa"/>
            <w:vAlign w:val="bottom"/>
          </w:tcPr>
          <w:p>
            <w:pPr>
              <w:spacing w:after="0"/>
              <w:rPr>
                <w:sz w:val="20"/>
                <w:szCs w:val="20"/>
                <w:color w:val="auto"/>
              </w:rPr>
            </w:pPr>
          </w:p>
        </w:tc>
        <w:tc>
          <w:tcPr>
            <w:tcW w:w="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2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16,421</w:t>
            </w:r>
          </w:p>
        </w:tc>
        <w:tc>
          <w:tcPr>
            <w:tcW w:w="60" w:type="dxa"/>
            <w:vAlign w:val="bottom"/>
          </w:tcPr>
          <w:p>
            <w:pPr>
              <w:spacing w:after="0"/>
              <w:rPr>
                <w:sz w:val="20"/>
                <w:szCs w:val="20"/>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2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31F20"/>
        </w:rPr>
        <w:t>The Company has approximately $ 9.2 million accrued for interest and penalties as of January 31, 2026 in the consolidated balance sheets and recorded $2.5 million in interest during fiscal 2025 in the consolidated statements of operations. The Company recognizes interest and penalties related to unrecognized tax benefits as a component of income tax expense. The Company does not anticipate that unrecognized tax benefits will significantly increase or decrease over the next 12 months.</w:t>
      </w:r>
    </w:p>
    <w:p>
      <w:pPr>
        <w:spacing w:after="0" w:line="197"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31F20"/>
        </w:rPr>
        <w:t>The Company is no longer subject to examination for U.S. federal income tax for periods prior to fiscal 2019. The Company is no longer subject to examination by state tax authorities for tax periods prior to fiscal 2020. The Company has no material foreign operations.</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95</w:t>
      </w:r>
    </w:p>
    <w:p>
      <w:pPr>
        <w:sectPr>
          <w:pgSz w:w="11880" w:h="15480" w:orient="portrait"/>
          <w:cols w:equalWidth="0" w:num="1">
            <w:col w:w="9360"/>
          </w:cols>
          <w:pgMar w:left="1260" w:top="1240" w:right="126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color w:val="231F20"/>
        </w:rPr>
        <w:t>13. Accumulated Other Comprehensive (Loss) Income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Changes in the balances of each component included in AOCI are presented below (net of tax, in thousands):</w:t>
      </w:r>
    </w:p>
    <w:p>
      <w:pPr>
        <w:spacing w:after="0" w:line="290" w:lineRule="exact"/>
        <w:rPr>
          <w:sz w:val="20"/>
          <w:szCs w:val="20"/>
          <w:color w:val="auto"/>
        </w:rPr>
      </w:pPr>
    </w:p>
    <w:tbl>
      <w:tblPr>
        <w:tblLayout w:type="fixed"/>
        <w:tblInd w:w="47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7"/>
              </w:rPr>
              <w:t>Foreign</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7"/>
              </w:rPr>
              <w:t>currency</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rPr>
              <w:t>translation</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231F20"/>
              </w:rPr>
              <w:t>Derivatives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231F20"/>
                <w:w w:val="98"/>
              </w:rPr>
              <w:t>adjustment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231F20"/>
              </w:rPr>
              <w:t>Total</w:t>
            </w:r>
          </w:p>
        </w:tc>
      </w:tr>
      <w:tr>
        <w:trPr>
          <w:trHeight w:val="239"/>
        </w:trPr>
        <w:tc>
          <w:tcPr>
            <w:tcW w:w="3820" w:type="dxa"/>
            <w:vAlign w:val="bottom"/>
            <w:tcBorders>
              <w:top w:val="single" w:sz="8" w:color="EAEBEC"/>
              <w:left w:val="single" w:sz="8" w:color="EAEBEC"/>
            </w:tcBorders>
            <w:gridSpan w:val="2"/>
            <w:shd w:val="clear" w:color="auto" w:fill="EAEBEC"/>
          </w:tcPr>
          <w:p>
            <w:pPr>
              <w:spacing w:after="0"/>
              <w:rPr>
                <w:sz w:val="20"/>
                <w:szCs w:val="20"/>
                <w:color w:val="auto"/>
              </w:rPr>
            </w:pPr>
            <w:r>
              <w:rPr>
                <w:rFonts w:ascii="Times New Roman" w:cs="Times New Roman" w:eastAsia="Times New Roman" w:hAnsi="Times New Roman"/>
                <w:sz w:val="20"/>
                <w:szCs w:val="20"/>
                <w:color w:val="231F20"/>
              </w:rPr>
              <w:t>Balance at January 28, 2023</w:t>
            </w:r>
          </w:p>
        </w:tc>
        <w:tc>
          <w:tcPr>
            <w:tcW w:w="20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(2,054)</w:t>
            </w:r>
          </w:p>
        </w:tc>
        <w:tc>
          <w:tcPr>
            <w:tcW w:w="140" w:type="dxa"/>
            <w:vAlign w:val="bottom"/>
            <w:tcBorders>
              <w:top w:val="single" w:sz="8" w:color="EAEBEC"/>
            </w:tcBorders>
            <w:shd w:val="clear" w:color="auto" w:fill="EAEBEC"/>
          </w:tcPr>
          <w:p>
            <w:pPr>
              <w:spacing w:after="0"/>
              <w:rPr>
                <w:sz w:val="20"/>
                <w:szCs w:val="20"/>
                <w:color w:val="auto"/>
              </w:rPr>
            </w:pPr>
          </w:p>
        </w:tc>
        <w:tc>
          <w:tcPr>
            <w:tcW w:w="100" w:type="dxa"/>
            <w:vAlign w:val="bottom"/>
            <w:tcBorders>
              <w:top w:val="single" w:sz="8" w:color="EAEBEC"/>
            </w:tcBorders>
            <w:shd w:val="clear" w:color="auto" w:fill="EAEBEC"/>
          </w:tcPr>
          <w:p>
            <w:pPr>
              <w:spacing w:after="0"/>
              <w:rPr>
                <w:sz w:val="20"/>
                <w:szCs w:val="20"/>
                <w:color w:val="auto"/>
              </w:rPr>
            </w:pPr>
          </w:p>
        </w:tc>
        <w:tc>
          <w:tcPr>
            <w:tcW w:w="18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(2,044)</w:t>
            </w:r>
          </w:p>
        </w:tc>
        <w:tc>
          <w:tcPr>
            <w:tcW w:w="160" w:type="dxa"/>
            <w:vAlign w:val="bottom"/>
            <w:tcBorders>
              <w:top w:val="single" w:sz="8" w:color="EAEBEC"/>
            </w:tcBorders>
            <w:shd w:val="clear" w:color="auto" w:fill="EAEBEC"/>
          </w:tcPr>
          <w:p>
            <w:pPr>
              <w:spacing w:after="0"/>
              <w:rPr>
                <w:sz w:val="20"/>
                <w:szCs w:val="20"/>
                <w:color w:val="auto"/>
              </w:rPr>
            </w:pPr>
          </w:p>
        </w:tc>
        <w:tc>
          <w:tcPr>
            <w:tcW w:w="80" w:type="dxa"/>
            <w:vAlign w:val="bottom"/>
            <w:tcBorders>
              <w:top w:val="single" w:sz="8" w:color="EAEBEC"/>
            </w:tcBorders>
            <w:shd w:val="clear" w:color="auto" w:fill="EAEBEC"/>
          </w:tcPr>
          <w:p>
            <w:pPr>
              <w:spacing w:after="0"/>
              <w:rPr>
                <w:sz w:val="20"/>
                <w:szCs w:val="20"/>
                <w:color w:val="auto"/>
              </w:rPr>
            </w:pPr>
          </w:p>
        </w:tc>
        <w:tc>
          <w:tcPr>
            <w:tcW w:w="280" w:type="dxa"/>
            <w:vAlign w:val="bottom"/>
            <w:tcBorders>
              <w:top w:val="single" w:sz="8" w:color="231F20"/>
            </w:tcBorders>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top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(4,098)</w:t>
            </w:r>
          </w:p>
        </w:tc>
        <w:tc>
          <w:tcPr>
            <w:tcW w:w="100" w:type="dxa"/>
            <w:vAlign w:val="bottom"/>
            <w:tcBorders>
              <w:top w:val="single" w:sz="8" w:color="EAEBEC"/>
            </w:tcBorders>
            <w:shd w:val="clear" w:color="auto" w:fill="EAEBEC"/>
          </w:tcPr>
          <w:p>
            <w:pPr>
              <w:spacing w:after="0"/>
              <w:rPr>
                <w:sz w:val="20"/>
                <w:szCs w:val="20"/>
                <w:color w:val="auto"/>
              </w:rPr>
            </w:pPr>
          </w:p>
        </w:tc>
      </w:tr>
      <w:tr>
        <w:trPr>
          <w:trHeight w:val="220"/>
        </w:trPr>
        <w:tc>
          <w:tcPr>
            <w:tcW w:w="3680" w:type="dxa"/>
            <w:vAlign w:val="bottom"/>
            <w:tcBorders>
              <w:top w:val="single" w:sz="8" w:color="E8E8E9"/>
              <w:left w:val="single" w:sz="8" w:color="E8E8E9"/>
              <w:right w:val="single" w:sz="8" w:color="E8E8E9"/>
            </w:tcBorders>
          </w:tcPr>
          <w:p>
            <w:pPr>
              <w:ind w:left="20"/>
              <w:spacing w:after="0" w:line="220" w:lineRule="exact"/>
              <w:rPr>
                <w:sz w:val="20"/>
                <w:szCs w:val="20"/>
                <w:color w:val="auto"/>
              </w:rPr>
            </w:pPr>
            <w:r>
              <w:rPr>
                <w:rFonts w:ascii="Times New Roman" w:cs="Times New Roman" w:eastAsia="Times New Roman" w:hAnsi="Times New Roman"/>
                <w:sz w:val="20"/>
                <w:szCs w:val="20"/>
                <w:color w:val="231F20"/>
              </w:rPr>
              <w:t>Other comprehensive income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3680" w:type="dxa"/>
            <w:vAlign w:val="bottom"/>
            <w:tcBorders>
              <w:left w:val="single" w:sz="8" w:color="E8E8E9"/>
              <w:right w:val="single" w:sz="8" w:color="E8E8E9"/>
            </w:tcBorders>
          </w:tcPr>
          <w:p>
            <w:pPr>
              <w:ind w:left="160"/>
              <w:spacing w:after="0"/>
              <w:rPr>
                <w:sz w:val="20"/>
                <w:szCs w:val="20"/>
                <w:color w:val="auto"/>
              </w:rPr>
            </w:pPr>
            <w:r>
              <w:rPr>
                <w:rFonts w:ascii="Times New Roman" w:cs="Times New Roman" w:eastAsia="Times New Roman" w:hAnsi="Times New Roman"/>
                <w:sz w:val="20"/>
                <w:szCs w:val="20"/>
                <w:color w:val="231F20"/>
              </w:rPr>
              <w:t>before reclassifications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5,534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6,286</w:t>
            </w:r>
          </w:p>
        </w:tc>
        <w:tc>
          <w:tcPr>
            <w:tcW w:w="100" w:type="dxa"/>
            <w:vAlign w:val="bottom"/>
          </w:tcPr>
          <w:p>
            <w:pPr>
              <w:spacing w:after="0"/>
              <w:rPr>
                <w:sz w:val="21"/>
                <w:szCs w:val="21"/>
                <w:color w:val="auto"/>
              </w:rPr>
            </w:pPr>
          </w:p>
        </w:tc>
      </w:tr>
      <w:tr>
        <w:trPr>
          <w:trHeight w:val="244"/>
        </w:trPr>
        <w:tc>
          <w:tcPr>
            <w:tcW w:w="3680" w:type="dxa"/>
            <w:vAlign w:val="bottom"/>
            <w:tcBorders>
              <w:left w:val="single" w:sz="8" w:color="E8E8E9"/>
              <w:right w:val="single" w:sz="8" w:color="E8E8E9"/>
            </w:tcBorders>
            <w:shd w:val="clear" w:color="auto" w:fill="E8E8E9"/>
          </w:tcPr>
          <w:p>
            <w:pPr>
              <w:spacing w:after="0"/>
              <w:rPr>
                <w:sz w:val="20"/>
                <w:szCs w:val="20"/>
                <w:color w:val="auto"/>
              </w:rPr>
            </w:pPr>
            <w:r>
              <w:rPr>
                <w:rFonts w:ascii="Times New Roman" w:cs="Times New Roman" w:eastAsia="Times New Roman" w:hAnsi="Times New Roman"/>
                <w:sz w:val="20"/>
                <w:szCs w:val="20"/>
                <w:color w:val="231F20"/>
              </w:rPr>
              <w:t>Amounts reclassified from AOCI</w:t>
            </w:r>
          </w:p>
        </w:tc>
        <w:tc>
          <w:tcPr>
            <w:tcW w:w="140" w:type="dxa"/>
            <w:vAlign w:val="bottom"/>
            <w:shd w:val="clear" w:color="auto" w:fill="EAEBEC"/>
          </w:tcPr>
          <w:p>
            <w:pPr>
              <w:spacing w:after="0"/>
              <w:rPr>
                <w:sz w:val="21"/>
                <w:szCs w:val="21"/>
                <w:color w:val="auto"/>
              </w:rPr>
            </w:pPr>
          </w:p>
        </w:tc>
        <w:tc>
          <w:tcPr>
            <w:tcW w:w="200" w:type="dxa"/>
            <w:vAlign w:val="bottom"/>
            <w:shd w:val="clear" w:color="auto" w:fill="EAEBEC"/>
          </w:tcPr>
          <w:p>
            <w:pPr>
              <w:spacing w:after="0"/>
              <w:rPr>
                <w:sz w:val="21"/>
                <w:szCs w:val="21"/>
                <w:color w:val="auto"/>
              </w:rPr>
            </w:pPr>
          </w:p>
        </w:tc>
        <w:tc>
          <w:tcPr>
            <w:tcW w:w="130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rPr>
              <w:t>(367)</w:t>
            </w:r>
          </w:p>
        </w:tc>
        <w:tc>
          <w:tcPr>
            <w:tcW w:w="10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132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AEBEC"/>
          </w:tcPr>
          <w:p>
            <w:pPr>
              <w:spacing w:after="0"/>
              <w:rPr>
                <w:sz w:val="21"/>
                <w:szCs w:val="21"/>
                <w:color w:val="auto"/>
              </w:rPr>
            </w:pPr>
          </w:p>
        </w:tc>
        <w:tc>
          <w:tcPr>
            <w:tcW w:w="280" w:type="dxa"/>
            <w:vAlign w:val="bottom"/>
            <w:shd w:val="clear" w:color="auto" w:fill="EAEBEC"/>
          </w:tcPr>
          <w:p>
            <w:pPr>
              <w:spacing w:after="0"/>
              <w:rPr>
                <w:sz w:val="21"/>
                <w:szCs w:val="21"/>
                <w:color w:val="auto"/>
              </w:rPr>
            </w:pPr>
          </w:p>
        </w:tc>
        <w:tc>
          <w:tcPr>
            <w:tcW w:w="116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(367)</w:t>
            </w:r>
          </w:p>
        </w:tc>
      </w:tr>
      <w:tr>
        <w:trPr>
          <w:trHeight w:val="239"/>
        </w:trPr>
        <w:tc>
          <w:tcPr>
            <w:tcW w:w="3820" w:type="dxa"/>
            <w:vAlign w:val="bottom"/>
            <w:tcBorders>
              <w:bottom w:val="single" w:sz="8" w:color="EAEBEC"/>
            </w:tcBorders>
            <w:gridSpan w:val="2"/>
          </w:tcPr>
          <w:p>
            <w:pPr>
              <w:ind w:left="200"/>
              <w:spacing w:after="0"/>
              <w:rPr>
                <w:sz w:val="20"/>
                <w:szCs w:val="20"/>
                <w:color w:val="auto"/>
              </w:rPr>
            </w:pPr>
            <w:r>
              <w:rPr>
                <w:rFonts w:ascii="Times New Roman" w:cs="Times New Roman" w:eastAsia="Times New Roman" w:hAnsi="Times New Roman"/>
                <w:sz w:val="20"/>
                <w:szCs w:val="20"/>
                <w:color w:val="231F20"/>
              </w:rPr>
              <w:t>Other comprehensive income</w:t>
            </w:r>
          </w:p>
        </w:tc>
        <w:tc>
          <w:tcPr>
            <w:tcW w:w="200" w:type="dxa"/>
            <w:vAlign w:val="bottom"/>
            <w:tcBorders>
              <w:top w:val="single" w:sz="8" w:color="231F20"/>
              <w:bottom w:val="single" w:sz="8" w:color="231F20"/>
            </w:tcBorders>
          </w:tcPr>
          <w:p>
            <w:pPr>
              <w:spacing w:after="0"/>
              <w:rPr>
                <w:sz w:val="20"/>
                <w:szCs w:val="20"/>
                <w:color w:val="auto"/>
              </w:rPr>
            </w:pPr>
          </w:p>
        </w:tc>
        <w:tc>
          <w:tcPr>
            <w:tcW w:w="11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385</w:t>
            </w:r>
          </w:p>
        </w:tc>
        <w:tc>
          <w:tcPr>
            <w:tcW w:w="140" w:type="dxa"/>
            <w:vAlign w:val="bottom"/>
            <w:tcBorders>
              <w:bottom w:val="single" w:sz="8" w:color="EAEBEC"/>
            </w:tcBorders>
          </w:tcPr>
          <w:p>
            <w:pPr>
              <w:spacing w:after="0"/>
              <w:rPr>
                <w:sz w:val="20"/>
                <w:szCs w:val="20"/>
                <w:color w:val="auto"/>
              </w:rPr>
            </w:pPr>
          </w:p>
        </w:tc>
        <w:tc>
          <w:tcPr>
            <w:tcW w:w="100" w:type="dxa"/>
            <w:vAlign w:val="bottom"/>
            <w:tcBorders>
              <w:bottom w:val="single" w:sz="8" w:color="EAEBEC"/>
            </w:tcBorders>
          </w:tcPr>
          <w:p>
            <w:pPr>
              <w:spacing w:after="0"/>
              <w:rPr>
                <w:sz w:val="20"/>
                <w:szCs w:val="20"/>
                <w:color w:val="auto"/>
              </w:rPr>
            </w:pPr>
          </w:p>
        </w:tc>
        <w:tc>
          <w:tcPr>
            <w:tcW w:w="180" w:type="dxa"/>
            <w:vAlign w:val="bottom"/>
            <w:tcBorders>
              <w:top w:val="single" w:sz="8" w:color="231F20"/>
              <w:bottom w:val="single" w:sz="8" w:color="231F20"/>
            </w:tcBorders>
          </w:tcPr>
          <w:p>
            <w:pPr>
              <w:spacing w:after="0"/>
              <w:rPr>
                <w:sz w:val="20"/>
                <w:szCs w:val="20"/>
                <w:color w:val="auto"/>
              </w:rPr>
            </w:pPr>
          </w:p>
        </w:tc>
        <w:tc>
          <w:tcPr>
            <w:tcW w:w="11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5,534</w:t>
            </w:r>
          </w:p>
        </w:tc>
        <w:tc>
          <w:tcPr>
            <w:tcW w:w="160" w:type="dxa"/>
            <w:vAlign w:val="bottom"/>
            <w:tcBorders>
              <w:bottom w:val="single" w:sz="8" w:color="EAEBEC"/>
            </w:tcBorders>
          </w:tcPr>
          <w:p>
            <w:pPr>
              <w:spacing w:after="0"/>
              <w:rPr>
                <w:sz w:val="20"/>
                <w:szCs w:val="20"/>
                <w:color w:val="auto"/>
              </w:rPr>
            </w:pPr>
          </w:p>
        </w:tc>
        <w:tc>
          <w:tcPr>
            <w:tcW w:w="80" w:type="dxa"/>
            <w:vAlign w:val="bottom"/>
            <w:tcBorders>
              <w:bottom w:val="single" w:sz="8" w:color="EAEBEC"/>
            </w:tcBorders>
          </w:tcPr>
          <w:p>
            <w:pPr>
              <w:spacing w:after="0"/>
              <w:rPr>
                <w:sz w:val="20"/>
                <w:szCs w:val="20"/>
                <w:color w:val="auto"/>
              </w:rPr>
            </w:pPr>
          </w:p>
        </w:tc>
        <w:tc>
          <w:tcPr>
            <w:tcW w:w="280" w:type="dxa"/>
            <w:vAlign w:val="bottom"/>
            <w:tcBorders>
              <w:top w:val="single" w:sz="8" w:color="231F20"/>
              <w:bottom w:val="single" w:sz="8" w:color="231F20"/>
            </w:tcBorders>
          </w:tcPr>
          <w:p>
            <w:pPr>
              <w:spacing w:after="0"/>
              <w:rPr>
                <w:sz w:val="20"/>
                <w:szCs w:val="20"/>
                <w:color w:val="auto"/>
              </w:rPr>
            </w:pPr>
          </w:p>
        </w:tc>
        <w:tc>
          <w:tcPr>
            <w:tcW w:w="10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5,919</w:t>
            </w:r>
          </w:p>
        </w:tc>
        <w:tc>
          <w:tcPr>
            <w:tcW w:w="100" w:type="dxa"/>
            <w:vAlign w:val="bottom"/>
            <w:tcBorders>
              <w:bottom w:val="single" w:sz="8" w:color="EAEBEC"/>
            </w:tcBorders>
          </w:tcPr>
          <w:p>
            <w:pPr>
              <w:spacing w:after="0"/>
              <w:rPr>
                <w:sz w:val="20"/>
                <w:szCs w:val="20"/>
                <w:color w:val="auto"/>
              </w:rPr>
            </w:pPr>
          </w:p>
        </w:tc>
      </w:tr>
      <w:tr>
        <w:trPr>
          <w:trHeight w:val="239"/>
        </w:trPr>
        <w:tc>
          <w:tcPr>
            <w:tcW w:w="3820" w:type="dxa"/>
            <w:vAlign w:val="bottom"/>
            <w:tcBorders>
              <w:left w:val="single" w:sz="8" w:color="EAEBEC"/>
            </w:tcBorders>
            <w:gridSpan w:val="2"/>
            <w:shd w:val="clear" w:color="auto" w:fill="EAEBEC"/>
          </w:tcPr>
          <w:p>
            <w:pPr>
              <w:spacing w:after="0"/>
              <w:rPr>
                <w:sz w:val="20"/>
                <w:szCs w:val="20"/>
                <w:color w:val="auto"/>
              </w:rPr>
            </w:pPr>
            <w:r>
              <w:rPr>
                <w:rFonts w:ascii="Times New Roman" w:cs="Times New Roman" w:eastAsia="Times New Roman" w:hAnsi="Times New Roman"/>
                <w:sz w:val="20"/>
                <w:szCs w:val="20"/>
                <w:color w:val="231F20"/>
              </w:rPr>
              <w:t>Balance at February 3, 2024</w:t>
            </w:r>
          </w:p>
        </w:tc>
        <w:tc>
          <w:tcPr>
            <w:tcW w:w="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(1,669)</w:t>
            </w:r>
          </w:p>
        </w:tc>
        <w:tc>
          <w:tcPr>
            <w:tcW w:w="140" w:type="dxa"/>
            <w:vAlign w:val="bottom"/>
            <w:shd w:val="clear" w:color="auto" w:fill="EAEBEC"/>
          </w:tcPr>
          <w:p>
            <w:pPr>
              <w:spacing w:after="0"/>
              <w:rPr>
                <w:sz w:val="20"/>
                <w:szCs w:val="20"/>
                <w:color w:val="auto"/>
              </w:rPr>
            </w:pPr>
          </w:p>
        </w:tc>
        <w:tc>
          <w:tcPr>
            <w:tcW w:w="100" w:type="dxa"/>
            <w:vAlign w:val="bottom"/>
            <w:shd w:val="clear" w:color="auto" w:fill="EAEBEC"/>
          </w:tcPr>
          <w:p>
            <w:pPr>
              <w:spacing w:after="0"/>
              <w:rPr>
                <w:sz w:val="20"/>
                <w:szCs w:val="20"/>
                <w:color w:val="auto"/>
              </w:rPr>
            </w:pPr>
          </w:p>
        </w:tc>
        <w:tc>
          <w:tcPr>
            <w:tcW w:w="1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3,490</w:t>
            </w:r>
          </w:p>
        </w:tc>
        <w:tc>
          <w:tcPr>
            <w:tcW w:w="160" w:type="dxa"/>
            <w:vAlign w:val="bottom"/>
            <w:shd w:val="clear" w:color="auto" w:fill="EAEBEC"/>
          </w:tcPr>
          <w:p>
            <w:pPr>
              <w:spacing w:after="0"/>
              <w:rPr>
                <w:sz w:val="20"/>
                <w:szCs w:val="20"/>
                <w:color w:val="auto"/>
              </w:rPr>
            </w:pPr>
          </w:p>
        </w:tc>
        <w:tc>
          <w:tcPr>
            <w:tcW w:w="80" w:type="dxa"/>
            <w:vAlign w:val="bottom"/>
            <w:shd w:val="clear" w:color="auto" w:fill="EAEBEC"/>
          </w:tcPr>
          <w:p>
            <w:pPr>
              <w:spacing w:after="0"/>
              <w:rPr>
                <w:sz w:val="20"/>
                <w:szCs w:val="20"/>
                <w:color w:val="auto"/>
              </w:rPr>
            </w:pPr>
          </w:p>
        </w:tc>
        <w:tc>
          <w:tcPr>
            <w:tcW w:w="280" w:type="dxa"/>
            <w:vAlign w:val="bottom"/>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1,821</w:t>
            </w:r>
          </w:p>
        </w:tc>
        <w:tc>
          <w:tcPr>
            <w:tcW w:w="100" w:type="dxa"/>
            <w:vAlign w:val="bottom"/>
            <w:shd w:val="clear" w:color="auto" w:fill="EAEBEC"/>
          </w:tcPr>
          <w:p>
            <w:pPr>
              <w:spacing w:after="0"/>
              <w:rPr>
                <w:sz w:val="20"/>
                <w:szCs w:val="20"/>
                <w:color w:val="auto"/>
              </w:rPr>
            </w:pPr>
          </w:p>
        </w:tc>
      </w:tr>
      <w:tr>
        <w:trPr>
          <w:trHeight w:val="225"/>
        </w:trPr>
        <w:tc>
          <w:tcPr>
            <w:tcW w:w="382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231F20"/>
              </w:rPr>
              <w:t>Other comprehensive income (loss)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38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before reclassifications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4,303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(21,836)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(17,533)</w:t>
            </w:r>
          </w:p>
        </w:tc>
      </w:tr>
      <w:tr>
        <w:trPr>
          <w:trHeight w:val="279"/>
        </w:trPr>
        <w:tc>
          <w:tcPr>
            <w:tcW w:w="3680" w:type="dxa"/>
            <w:vAlign w:val="bottom"/>
            <w:tcBorders>
              <w:left w:val="single" w:sz="8" w:color="E8E8E9"/>
              <w:right w:val="single" w:sz="8" w:color="E8E8E9"/>
            </w:tcBorders>
            <w:shd w:val="clear" w:color="auto" w:fill="E8E8E9"/>
          </w:tcPr>
          <w:p>
            <w:pPr>
              <w:ind w:left="20"/>
              <w:spacing w:after="0"/>
              <w:rPr>
                <w:sz w:val="20"/>
                <w:szCs w:val="20"/>
                <w:color w:val="auto"/>
              </w:rPr>
            </w:pPr>
            <w:r>
              <w:rPr>
                <w:rFonts w:ascii="Times New Roman" w:cs="Times New Roman" w:eastAsia="Times New Roman" w:hAnsi="Times New Roman"/>
                <w:sz w:val="20"/>
                <w:szCs w:val="20"/>
                <w:color w:val="231F20"/>
              </w:rPr>
              <w:t>Amounts reclassified from AOCI</w:t>
            </w:r>
          </w:p>
        </w:tc>
        <w:tc>
          <w:tcPr>
            <w:tcW w:w="140" w:type="dxa"/>
            <w:vAlign w:val="bottom"/>
            <w:shd w:val="clear" w:color="auto" w:fill="EAEBEC"/>
          </w:tcPr>
          <w:p>
            <w:pPr>
              <w:spacing w:after="0"/>
              <w:rPr>
                <w:sz w:val="24"/>
                <w:szCs w:val="24"/>
                <w:color w:val="auto"/>
              </w:rPr>
            </w:pPr>
          </w:p>
        </w:tc>
        <w:tc>
          <w:tcPr>
            <w:tcW w:w="200" w:type="dxa"/>
            <w:vAlign w:val="bottom"/>
            <w:shd w:val="clear" w:color="auto" w:fill="EAEBEC"/>
          </w:tcPr>
          <w:p>
            <w:pPr>
              <w:spacing w:after="0"/>
              <w:rPr>
                <w:sz w:val="24"/>
                <w:szCs w:val="24"/>
                <w:color w:val="auto"/>
              </w:rPr>
            </w:pPr>
          </w:p>
        </w:tc>
        <w:tc>
          <w:tcPr>
            <w:tcW w:w="130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rPr>
              <w:t>(2,371)</w:t>
            </w:r>
          </w:p>
        </w:tc>
        <w:tc>
          <w:tcPr>
            <w:tcW w:w="100" w:type="dxa"/>
            <w:vAlign w:val="bottom"/>
            <w:shd w:val="clear" w:color="auto" w:fill="EAEBEC"/>
          </w:tcPr>
          <w:p>
            <w:pPr>
              <w:spacing w:after="0"/>
              <w:rPr>
                <w:sz w:val="24"/>
                <w:szCs w:val="24"/>
                <w:color w:val="auto"/>
              </w:rPr>
            </w:pPr>
          </w:p>
        </w:tc>
        <w:tc>
          <w:tcPr>
            <w:tcW w:w="180" w:type="dxa"/>
            <w:vAlign w:val="bottom"/>
            <w:shd w:val="clear" w:color="auto" w:fill="EAEBEC"/>
          </w:tcPr>
          <w:p>
            <w:pPr>
              <w:spacing w:after="0"/>
              <w:rPr>
                <w:sz w:val="24"/>
                <w:szCs w:val="24"/>
                <w:color w:val="auto"/>
              </w:rPr>
            </w:pPr>
          </w:p>
        </w:tc>
        <w:tc>
          <w:tcPr>
            <w:tcW w:w="132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AEBEC"/>
          </w:tcPr>
          <w:p>
            <w:pPr>
              <w:spacing w:after="0"/>
              <w:rPr>
                <w:sz w:val="24"/>
                <w:szCs w:val="24"/>
                <w:color w:val="auto"/>
              </w:rPr>
            </w:pPr>
          </w:p>
        </w:tc>
        <w:tc>
          <w:tcPr>
            <w:tcW w:w="280" w:type="dxa"/>
            <w:vAlign w:val="bottom"/>
            <w:shd w:val="clear" w:color="auto" w:fill="EAEBEC"/>
          </w:tcPr>
          <w:p>
            <w:pPr>
              <w:spacing w:after="0"/>
              <w:rPr>
                <w:sz w:val="24"/>
                <w:szCs w:val="24"/>
                <w:color w:val="auto"/>
              </w:rPr>
            </w:pPr>
          </w:p>
        </w:tc>
        <w:tc>
          <w:tcPr>
            <w:tcW w:w="116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(2,371)</w:t>
            </w:r>
          </w:p>
        </w:tc>
      </w:tr>
      <w:tr>
        <w:trPr>
          <w:trHeight w:val="219"/>
        </w:trPr>
        <w:tc>
          <w:tcPr>
            <w:tcW w:w="3680" w:type="dxa"/>
            <w:vAlign w:val="bottom"/>
            <w:tcBorders>
              <w:top w:val="single" w:sz="8" w:color="E8E8E9"/>
              <w:bottom w:val="single" w:sz="8" w:color="EAEBEC"/>
            </w:tcBorders>
          </w:tcPr>
          <w:p>
            <w:pPr>
              <w:ind w:left="200"/>
              <w:spacing w:after="0" w:line="219" w:lineRule="exact"/>
              <w:rPr>
                <w:sz w:val="20"/>
                <w:szCs w:val="20"/>
                <w:color w:val="auto"/>
              </w:rPr>
            </w:pPr>
            <w:r>
              <w:rPr>
                <w:rFonts w:ascii="Times New Roman" w:cs="Times New Roman" w:eastAsia="Times New Roman" w:hAnsi="Times New Roman"/>
                <w:sz w:val="20"/>
                <w:szCs w:val="20"/>
                <w:color w:val="231F20"/>
              </w:rPr>
              <w:t>Other comprehensive income (loss)</w:t>
            </w:r>
          </w:p>
        </w:tc>
        <w:tc>
          <w:tcPr>
            <w:tcW w:w="140" w:type="dxa"/>
            <w:vAlign w:val="bottom"/>
            <w:tcBorders>
              <w:bottom w:val="single" w:sz="8" w:color="EAEBEC"/>
            </w:tcBorders>
          </w:tcPr>
          <w:p>
            <w:pPr>
              <w:spacing w:after="0"/>
              <w:rPr>
                <w:sz w:val="19"/>
                <w:szCs w:val="19"/>
                <w:color w:val="auto"/>
              </w:rPr>
            </w:pPr>
          </w:p>
        </w:tc>
        <w:tc>
          <w:tcPr>
            <w:tcW w:w="200" w:type="dxa"/>
            <w:vAlign w:val="bottom"/>
            <w:tcBorders>
              <w:top w:val="single" w:sz="8" w:color="231F20"/>
              <w:bottom w:val="single" w:sz="8" w:color="231F20"/>
            </w:tcBorders>
          </w:tcPr>
          <w:p>
            <w:pPr>
              <w:spacing w:after="0"/>
              <w:rPr>
                <w:sz w:val="19"/>
                <w:szCs w:val="19"/>
                <w:color w:val="auto"/>
              </w:rPr>
            </w:pPr>
          </w:p>
        </w:tc>
        <w:tc>
          <w:tcPr>
            <w:tcW w:w="116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1,932</w:t>
            </w:r>
          </w:p>
        </w:tc>
        <w:tc>
          <w:tcPr>
            <w:tcW w:w="140" w:type="dxa"/>
            <w:vAlign w:val="bottom"/>
            <w:tcBorders>
              <w:bottom w:val="single" w:sz="8" w:color="EAEBEC"/>
            </w:tcBorders>
          </w:tcPr>
          <w:p>
            <w:pPr>
              <w:spacing w:after="0"/>
              <w:rPr>
                <w:sz w:val="19"/>
                <w:szCs w:val="19"/>
                <w:color w:val="auto"/>
              </w:rPr>
            </w:pPr>
          </w:p>
        </w:tc>
        <w:tc>
          <w:tcPr>
            <w:tcW w:w="100" w:type="dxa"/>
            <w:vAlign w:val="bottom"/>
            <w:tcBorders>
              <w:bottom w:val="single" w:sz="8" w:color="EAEBEC"/>
            </w:tcBorders>
          </w:tcPr>
          <w:p>
            <w:pPr>
              <w:spacing w:after="0"/>
              <w:rPr>
                <w:sz w:val="19"/>
                <w:szCs w:val="19"/>
                <w:color w:val="auto"/>
              </w:rPr>
            </w:pPr>
          </w:p>
        </w:tc>
        <w:tc>
          <w:tcPr>
            <w:tcW w:w="180" w:type="dxa"/>
            <w:vAlign w:val="bottom"/>
            <w:tcBorders>
              <w:top w:val="single" w:sz="8" w:color="231F20"/>
              <w:bottom w:val="single" w:sz="8" w:color="231F20"/>
            </w:tcBorders>
          </w:tcPr>
          <w:p>
            <w:pPr>
              <w:spacing w:after="0"/>
              <w:rPr>
                <w:sz w:val="19"/>
                <w:szCs w:val="19"/>
                <w:color w:val="auto"/>
              </w:rPr>
            </w:pPr>
          </w:p>
        </w:tc>
        <w:tc>
          <w:tcPr>
            <w:tcW w:w="116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(21,836)</w:t>
            </w:r>
          </w:p>
        </w:tc>
        <w:tc>
          <w:tcPr>
            <w:tcW w:w="160" w:type="dxa"/>
            <w:vAlign w:val="bottom"/>
            <w:tcBorders>
              <w:bottom w:val="single" w:sz="8" w:color="EAEBEC"/>
            </w:tcBorders>
          </w:tcPr>
          <w:p>
            <w:pPr>
              <w:spacing w:after="0"/>
              <w:rPr>
                <w:sz w:val="19"/>
                <w:szCs w:val="19"/>
                <w:color w:val="auto"/>
              </w:rPr>
            </w:pPr>
          </w:p>
        </w:tc>
        <w:tc>
          <w:tcPr>
            <w:tcW w:w="80" w:type="dxa"/>
            <w:vAlign w:val="bottom"/>
            <w:tcBorders>
              <w:bottom w:val="single" w:sz="8" w:color="EAEBEC"/>
            </w:tcBorders>
          </w:tcPr>
          <w:p>
            <w:pPr>
              <w:spacing w:after="0"/>
              <w:rPr>
                <w:sz w:val="19"/>
                <w:szCs w:val="19"/>
                <w:color w:val="auto"/>
              </w:rPr>
            </w:pPr>
          </w:p>
        </w:tc>
        <w:tc>
          <w:tcPr>
            <w:tcW w:w="280" w:type="dxa"/>
            <w:vAlign w:val="bottom"/>
            <w:tcBorders>
              <w:top w:val="single" w:sz="8" w:color="231F20"/>
              <w:bottom w:val="single" w:sz="8" w:color="231F20"/>
            </w:tcBorders>
          </w:tcPr>
          <w:p>
            <w:pPr>
              <w:spacing w:after="0"/>
              <w:rPr>
                <w:sz w:val="19"/>
                <w:szCs w:val="19"/>
                <w:color w:val="auto"/>
              </w:rPr>
            </w:pPr>
          </w:p>
        </w:tc>
        <w:tc>
          <w:tcPr>
            <w:tcW w:w="106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(19,904)</w:t>
            </w:r>
          </w:p>
        </w:tc>
        <w:tc>
          <w:tcPr>
            <w:tcW w:w="100" w:type="dxa"/>
            <w:vAlign w:val="bottom"/>
            <w:tcBorders>
              <w:bottom w:val="single" w:sz="8" w:color="EAEBEC"/>
            </w:tcBorders>
          </w:tcPr>
          <w:p>
            <w:pPr>
              <w:spacing w:after="0"/>
              <w:rPr>
                <w:sz w:val="19"/>
                <w:szCs w:val="19"/>
                <w:color w:val="auto"/>
              </w:rPr>
            </w:pPr>
          </w:p>
        </w:tc>
      </w:tr>
      <w:tr>
        <w:trPr>
          <w:trHeight w:val="239"/>
        </w:trPr>
        <w:tc>
          <w:tcPr>
            <w:tcW w:w="3820" w:type="dxa"/>
            <w:vAlign w:val="bottom"/>
            <w:tcBorders>
              <w:left w:val="single" w:sz="8" w:color="EAEBEC"/>
            </w:tcBorders>
            <w:gridSpan w:val="2"/>
            <w:shd w:val="clear" w:color="auto" w:fill="EAEBEC"/>
          </w:tcPr>
          <w:p>
            <w:pPr>
              <w:spacing w:after="0"/>
              <w:rPr>
                <w:sz w:val="20"/>
                <w:szCs w:val="20"/>
                <w:color w:val="auto"/>
              </w:rPr>
            </w:pPr>
            <w:r>
              <w:rPr>
                <w:rFonts w:ascii="Times New Roman" w:cs="Times New Roman" w:eastAsia="Times New Roman" w:hAnsi="Times New Roman"/>
                <w:sz w:val="20"/>
                <w:szCs w:val="20"/>
                <w:color w:val="231F20"/>
              </w:rPr>
              <w:t>Balance at February 1, 2025</w:t>
            </w:r>
          </w:p>
        </w:tc>
        <w:tc>
          <w:tcPr>
            <w:tcW w:w="2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263</w:t>
            </w:r>
          </w:p>
        </w:tc>
        <w:tc>
          <w:tcPr>
            <w:tcW w:w="140" w:type="dxa"/>
            <w:vAlign w:val="bottom"/>
            <w:shd w:val="clear" w:color="auto" w:fill="EAEBEC"/>
          </w:tcPr>
          <w:p>
            <w:pPr>
              <w:spacing w:after="0"/>
              <w:rPr>
                <w:sz w:val="20"/>
                <w:szCs w:val="20"/>
                <w:color w:val="auto"/>
              </w:rPr>
            </w:pPr>
          </w:p>
        </w:tc>
        <w:tc>
          <w:tcPr>
            <w:tcW w:w="100" w:type="dxa"/>
            <w:vAlign w:val="bottom"/>
            <w:shd w:val="clear" w:color="auto" w:fill="EAEBEC"/>
          </w:tcPr>
          <w:p>
            <w:pPr>
              <w:spacing w:after="0"/>
              <w:rPr>
                <w:sz w:val="20"/>
                <w:szCs w:val="20"/>
                <w:color w:val="auto"/>
              </w:rPr>
            </w:pPr>
          </w:p>
        </w:tc>
        <w:tc>
          <w:tcPr>
            <w:tcW w:w="1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(18,346)</w:t>
            </w:r>
          </w:p>
        </w:tc>
        <w:tc>
          <w:tcPr>
            <w:tcW w:w="160" w:type="dxa"/>
            <w:vAlign w:val="bottom"/>
            <w:shd w:val="clear" w:color="auto" w:fill="EAEBEC"/>
          </w:tcPr>
          <w:p>
            <w:pPr>
              <w:spacing w:after="0"/>
              <w:rPr>
                <w:sz w:val="20"/>
                <w:szCs w:val="20"/>
                <w:color w:val="auto"/>
              </w:rPr>
            </w:pPr>
          </w:p>
        </w:tc>
        <w:tc>
          <w:tcPr>
            <w:tcW w:w="80" w:type="dxa"/>
            <w:vAlign w:val="bottom"/>
            <w:shd w:val="clear" w:color="auto" w:fill="EAEBEC"/>
          </w:tcPr>
          <w:p>
            <w:pPr>
              <w:spacing w:after="0"/>
              <w:rPr>
                <w:sz w:val="20"/>
                <w:szCs w:val="20"/>
                <w:color w:val="auto"/>
              </w:rPr>
            </w:pPr>
          </w:p>
        </w:tc>
        <w:tc>
          <w:tcPr>
            <w:tcW w:w="280" w:type="dxa"/>
            <w:vAlign w:val="bottom"/>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(18,083)</w:t>
            </w:r>
          </w:p>
        </w:tc>
        <w:tc>
          <w:tcPr>
            <w:tcW w:w="100" w:type="dxa"/>
            <w:vAlign w:val="bottom"/>
            <w:shd w:val="clear" w:color="auto" w:fill="EAEBEC"/>
          </w:tcPr>
          <w:p>
            <w:pPr>
              <w:spacing w:after="0"/>
              <w:rPr>
                <w:sz w:val="20"/>
                <w:szCs w:val="20"/>
                <w:color w:val="auto"/>
              </w:rPr>
            </w:pPr>
          </w:p>
        </w:tc>
      </w:tr>
      <w:tr>
        <w:trPr>
          <w:trHeight w:val="224"/>
        </w:trPr>
        <w:tc>
          <w:tcPr>
            <w:tcW w:w="382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231F20"/>
              </w:rPr>
              <w:t>Other comprehensive (loss) income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38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231F20"/>
              </w:rPr>
              <w:t>before reclassifications</w:t>
            </w:r>
          </w:p>
        </w:tc>
        <w:tc>
          <w:tcPr>
            <w:tcW w:w="2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(587)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10,699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10,112</w:t>
            </w:r>
          </w:p>
        </w:tc>
        <w:tc>
          <w:tcPr>
            <w:tcW w:w="100" w:type="dxa"/>
            <w:vAlign w:val="bottom"/>
          </w:tcPr>
          <w:p>
            <w:pPr>
              <w:spacing w:after="0"/>
              <w:rPr>
                <w:sz w:val="21"/>
                <w:szCs w:val="21"/>
                <w:color w:val="auto"/>
              </w:rPr>
            </w:pPr>
          </w:p>
        </w:tc>
      </w:tr>
      <w:tr>
        <w:trPr>
          <w:trHeight w:val="244"/>
        </w:trPr>
        <w:tc>
          <w:tcPr>
            <w:tcW w:w="3680" w:type="dxa"/>
            <w:vAlign w:val="bottom"/>
            <w:tcBorders>
              <w:left w:val="single" w:sz="8" w:color="E8E8E9"/>
              <w:right w:val="single" w:sz="8" w:color="E8E8E9"/>
            </w:tcBorders>
            <w:shd w:val="clear" w:color="auto" w:fill="E8E8E9"/>
          </w:tcPr>
          <w:p>
            <w:pPr>
              <w:spacing w:after="0"/>
              <w:rPr>
                <w:sz w:val="20"/>
                <w:szCs w:val="20"/>
                <w:color w:val="auto"/>
              </w:rPr>
            </w:pPr>
            <w:r>
              <w:rPr>
                <w:rFonts w:ascii="Times New Roman" w:cs="Times New Roman" w:eastAsia="Times New Roman" w:hAnsi="Times New Roman"/>
                <w:sz w:val="20"/>
                <w:szCs w:val="20"/>
                <w:color w:val="231F20"/>
              </w:rPr>
              <w:t>Amounts reclassified from AOCI</w:t>
            </w:r>
          </w:p>
        </w:tc>
        <w:tc>
          <w:tcPr>
            <w:tcW w:w="140" w:type="dxa"/>
            <w:vAlign w:val="bottom"/>
            <w:shd w:val="clear" w:color="auto" w:fill="EAEBEC"/>
          </w:tcPr>
          <w:p>
            <w:pPr>
              <w:spacing w:after="0"/>
              <w:rPr>
                <w:sz w:val="21"/>
                <w:szCs w:val="21"/>
                <w:color w:val="auto"/>
              </w:rPr>
            </w:pPr>
          </w:p>
        </w:tc>
        <w:tc>
          <w:tcPr>
            <w:tcW w:w="200" w:type="dxa"/>
            <w:vAlign w:val="bottom"/>
            <w:shd w:val="clear" w:color="auto" w:fill="EAEBEC"/>
          </w:tcPr>
          <w:p>
            <w:pPr>
              <w:spacing w:after="0"/>
              <w:rPr>
                <w:sz w:val="21"/>
                <w:szCs w:val="21"/>
                <w:color w:val="auto"/>
              </w:rPr>
            </w:pPr>
          </w:p>
        </w:tc>
        <w:tc>
          <w:tcPr>
            <w:tcW w:w="1300" w:type="dxa"/>
            <w:vAlign w:val="bottom"/>
            <w:gridSpan w:val="2"/>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rPr>
              <w:t>(418)</w:t>
            </w:r>
          </w:p>
        </w:tc>
        <w:tc>
          <w:tcPr>
            <w:tcW w:w="100" w:type="dxa"/>
            <w:vAlign w:val="bottom"/>
            <w:shd w:val="clear" w:color="auto" w:fill="EAEBEC"/>
          </w:tcPr>
          <w:p>
            <w:pPr>
              <w:spacing w:after="0"/>
              <w:rPr>
                <w:sz w:val="21"/>
                <w:szCs w:val="21"/>
                <w:color w:val="auto"/>
              </w:rPr>
            </w:pPr>
          </w:p>
        </w:tc>
        <w:tc>
          <w:tcPr>
            <w:tcW w:w="180" w:type="dxa"/>
            <w:vAlign w:val="bottom"/>
            <w:shd w:val="clear" w:color="auto" w:fill="EAEBEC"/>
          </w:tcPr>
          <w:p>
            <w:pPr>
              <w:spacing w:after="0"/>
              <w:rPr>
                <w:sz w:val="21"/>
                <w:szCs w:val="21"/>
                <w:color w:val="auto"/>
              </w:rPr>
            </w:pPr>
          </w:p>
        </w:tc>
        <w:tc>
          <w:tcPr>
            <w:tcW w:w="1320" w:type="dxa"/>
            <w:vAlign w:val="bottom"/>
            <w:gridSpan w:val="2"/>
            <w:shd w:val="clear" w:color="auto" w:fill="EAEBEC"/>
          </w:tcPr>
          <w:p>
            <w:pPr>
              <w:jc w:val="right"/>
              <w:ind w:right="18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shd w:val="clear" w:color="auto" w:fill="EAEBEC"/>
          </w:tcPr>
          <w:p>
            <w:pPr>
              <w:spacing w:after="0"/>
              <w:rPr>
                <w:sz w:val="21"/>
                <w:szCs w:val="21"/>
                <w:color w:val="auto"/>
              </w:rPr>
            </w:pPr>
          </w:p>
        </w:tc>
        <w:tc>
          <w:tcPr>
            <w:tcW w:w="280" w:type="dxa"/>
            <w:vAlign w:val="bottom"/>
            <w:shd w:val="clear" w:color="auto" w:fill="EAEBEC"/>
          </w:tcPr>
          <w:p>
            <w:pPr>
              <w:spacing w:after="0"/>
              <w:rPr>
                <w:sz w:val="21"/>
                <w:szCs w:val="21"/>
                <w:color w:val="auto"/>
              </w:rPr>
            </w:pPr>
          </w:p>
        </w:tc>
        <w:tc>
          <w:tcPr>
            <w:tcW w:w="116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(418)</w:t>
            </w:r>
          </w:p>
        </w:tc>
      </w:tr>
      <w:tr>
        <w:trPr>
          <w:trHeight w:val="239"/>
        </w:trPr>
        <w:tc>
          <w:tcPr>
            <w:tcW w:w="3820" w:type="dxa"/>
            <w:vAlign w:val="bottom"/>
            <w:tcBorders>
              <w:bottom w:val="single" w:sz="8" w:color="EAEBEC"/>
            </w:tcBorders>
            <w:gridSpan w:val="2"/>
          </w:tcPr>
          <w:p>
            <w:pPr>
              <w:ind w:left="200"/>
              <w:spacing w:after="0"/>
              <w:rPr>
                <w:sz w:val="20"/>
                <w:szCs w:val="20"/>
                <w:color w:val="auto"/>
              </w:rPr>
            </w:pPr>
            <w:r>
              <w:rPr>
                <w:rFonts w:ascii="Times New Roman" w:cs="Times New Roman" w:eastAsia="Times New Roman" w:hAnsi="Times New Roman"/>
                <w:sz w:val="20"/>
                <w:szCs w:val="20"/>
                <w:color w:val="231F20"/>
              </w:rPr>
              <w:t>Other comprehensive (loss) income</w:t>
            </w:r>
          </w:p>
        </w:tc>
        <w:tc>
          <w:tcPr>
            <w:tcW w:w="200" w:type="dxa"/>
            <w:vAlign w:val="bottom"/>
            <w:tcBorders>
              <w:top w:val="single" w:sz="8" w:color="231F20"/>
              <w:bottom w:val="single" w:sz="8" w:color="231F20"/>
            </w:tcBorders>
          </w:tcPr>
          <w:p>
            <w:pPr>
              <w:spacing w:after="0"/>
              <w:rPr>
                <w:sz w:val="20"/>
                <w:szCs w:val="20"/>
                <w:color w:val="auto"/>
              </w:rPr>
            </w:pPr>
          </w:p>
        </w:tc>
        <w:tc>
          <w:tcPr>
            <w:tcW w:w="11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(1,005)</w:t>
            </w:r>
          </w:p>
        </w:tc>
        <w:tc>
          <w:tcPr>
            <w:tcW w:w="140" w:type="dxa"/>
            <w:vAlign w:val="bottom"/>
            <w:tcBorders>
              <w:bottom w:val="single" w:sz="8" w:color="EAEBEC"/>
            </w:tcBorders>
          </w:tcPr>
          <w:p>
            <w:pPr>
              <w:spacing w:after="0"/>
              <w:rPr>
                <w:sz w:val="20"/>
                <w:szCs w:val="20"/>
                <w:color w:val="auto"/>
              </w:rPr>
            </w:pPr>
          </w:p>
        </w:tc>
        <w:tc>
          <w:tcPr>
            <w:tcW w:w="100" w:type="dxa"/>
            <w:vAlign w:val="bottom"/>
            <w:tcBorders>
              <w:bottom w:val="single" w:sz="8" w:color="EAEBEC"/>
            </w:tcBorders>
          </w:tcPr>
          <w:p>
            <w:pPr>
              <w:spacing w:after="0"/>
              <w:rPr>
                <w:sz w:val="20"/>
                <w:szCs w:val="20"/>
                <w:color w:val="auto"/>
              </w:rPr>
            </w:pPr>
          </w:p>
        </w:tc>
        <w:tc>
          <w:tcPr>
            <w:tcW w:w="180" w:type="dxa"/>
            <w:vAlign w:val="bottom"/>
            <w:tcBorders>
              <w:top w:val="single" w:sz="8" w:color="231F20"/>
              <w:bottom w:val="single" w:sz="8" w:color="231F20"/>
            </w:tcBorders>
          </w:tcPr>
          <w:p>
            <w:pPr>
              <w:spacing w:after="0"/>
              <w:rPr>
                <w:sz w:val="20"/>
                <w:szCs w:val="20"/>
                <w:color w:val="auto"/>
              </w:rPr>
            </w:pPr>
          </w:p>
        </w:tc>
        <w:tc>
          <w:tcPr>
            <w:tcW w:w="11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10,699</w:t>
            </w:r>
          </w:p>
        </w:tc>
        <w:tc>
          <w:tcPr>
            <w:tcW w:w="160" w:type="dxa"/>
            <w:vAlign w:val="bottom"/>
            <w:tcBorders>
              <w:bottom w:val="single" w:sz="8" w:color="EAEBEC"/>
            </w:tcBorders>
          </w:tcPr>
          <w:p>
            <w:pPr>
              <w:spacing w:after="0"/>
              <w:rPr>
                <w:sz w:val="20"/>
                <w:szCs w:val="20"/>
                <w:color w:val="auto"/>
              </w:rPr>
            </w:pPr>
          </w:p>
        </w:tc>
        <w:tc>
          <w:tcPr>
            <w:tcW w:w="80" w:type="dxa"/>
            <w:vAlign w:val="bottom"/>
            <w:tcBorders>
              <w:bottom w:val="single" w:sz="8" w:color="EAEBEC"/>
            </w:tcBorders>
          </w:tcPr>
          <w:p>
            <w:pPr>
              <w:spacing w:after="0"/>
              <w:rPr>
                <w:sz w:val="20"/>
                <w:szCs w:val="20"/>
                <w:color w:val="auto"/>
              </w:rPr>
            </w:pPr>
          </w:p>
        </w:tc>
        <w:tc>
          <w:tcPr>
            <w:tcW w:w="280" w:type="dxa"/>
            <w:vAlign w:val="bottom"/>
            <w:tcBorders>
              <w:top w:val="single" w:sz="8" w:color="231F20"/>
              <w:bottom w:val="single" w:sz="8" w:color="231F20"/>
            </w:tcBorders>
          </w:tcPr>
          <w:p>
            <w:pPr>
              <w:spacing w:after="0"/>
              <w:rPr>
                <w:sz w:val="20"/>
                <w:szCs w:val="20"/>
                <w:color w:val="auto"/>
              </w:rPr>
            </w:pPr>
          </w:p>
        </w:tc>
        <w:tc>
          <w:tcPr>
            <w:tcW w:w="106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9,694</w:t>
            </w:r>
          </w:p>
        </w:tc>
        <w:tc>
          <w:tcPr>
            <w:tcW w:w="100" w:type="dxa"/>
            <w:vAlign w:val="bottom"/>
            <w:tcBorders>
              <w:bottom w:val="single" w:sz="8" w:color="EAEBEC"/>
            </w:tcBorders>
          </w:tcPr>
          <w:p>
            <w:pPr>
              <w:spacing w:after="0"/>
              <w:rPr>
                <w:sz w:val="20"/>
                <w:szCs w:val="20"/>
                <w:color w:val="auto"/>
              </w:rPr>
            </w:pPr>
          </w:p>
        </w:tc>
      </w:tr>
      <w:tr>
        <w:trPr>
          <w:trHeight w:val="239"/>
        </w:trPr>
        <w:tc>
          <w:tcPr>
            <w:tcW w:w="3820" w:type="dxa"/>
            <w:vAlign w:val="bottom"/>
            <w:tcBorders>
              <w:left w:val="single" w:sz="8" w:color="EAEBEC"/>
            </w:tcBorders>
            <w:gridSpan w:val="2"/>
            <w:shd w:val="clear" w:color="auto" w:fill="EAEBEC"/>
          </w:tcPr>
          <w:p>
            <w:pPr>
              <w:spacing w:after="0"/>
              <w:rPr>
                <w:sz w:val="20"/>
                <w:szCs w:val="20"/>
                <w:color w:val="auto"/>
              </w:rPr>
            </w:pPr>
            <w:r>
              <w:rPr>
                <w:rFonts w:ascii="Times New Roman" w:cs="Times New Roman" w:eastAsia="Times New Roman" w:hAnsi="Times New Roman"/>
                <w:sz w:val="20"/>
                <w:szCs w:val="20"/>
                <w:color w:val="231F20"/>
              </w:rPr>
              <w:t>Balance at January 31, 2026</w:t>
            </w:r>
          </w:p>
        </w:tc>
        <w:tc>
          <w:tcPr>
            <w:tcW w:w="20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(742)</w:t>
            </w:r>
          </w:p>
        </w:tc>
        <w:tc>
          <w:tcPr>
            <w:tcW w:w="140" w:type="dxa"/>
            <w:vAlign w:val="bottom"/>
            <w:shd w:val="clear" w:color="auto" w:fill="EAEBEC"/>
          </w:tcPr>
          <w:p>
            <w:pPr>
              <w:spacing w:after="0"/>
              <w:rPr>
                <w:sz w:val="20"/>
                <w:szCs w:val="20"/>
                <w:color w:val="auto"/>
              </w:rPr>
            </w:pPr>
          </w:p>
        </w:tc>
        <w:tc>
          <w:tcPr>
            <w:tcW w:w="100" w:type="dxa"/>
            <w:vAlign w:val="bottom"/>
            <w:shd w:val="clear" w:color="auto" w:fill="EAEBEC"/>
          </w:tcPr>
          <w:p>
            <w:pPr>
              <w:spacing w:after="0"/>
              <w:rPr>
                <w:sz w:val="20"/>
                <w:szCs w:val="20"/>
                <w:color w:val="auto"/>
              </w:rPr>
            </w:pPr>
          </w:p>
        </w:tc>
        <w:tc>
          <w:tcPr>
            <w:tcW w:w="1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1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(7,647)</w:t>
            </w:r>
          </w:p>
        </w:tc>
        <w:tc>
          <w:tcPr>
            <w:tcW w:w="160" w:type="dxa"/>
            <w:vAlign w:val="bottom"/>
            <w:shd w:val="clear" w:color="auto" w:fill="EAEBEC"/>
          </w:tcPr>
          <w:p>
            <w:pPr>
              <w:spacing w:after="0"/>
              <w:rPr>
                <w:sz w:val="20"/>
                <w:szCs w:val="20"/>
                <w:color w:val="auto"/>
              </w:rPr>
            </w:pPr>
          </w:p>
        </w:tc>
        <w:tc>
          <w:tcPr>
            <w:tcW w:w="80" w:type="dxa"/>
            <w:vAlign w:val="bottom"/>
            <w:shd w:val="clear" w:color="auto" w:fill="EAEBEC"/>
          </w:tcPr>
          <w:p>
            <w:pPr>
              <w:spacing w:after="0"/>
              <w:rPr>
                <w:sz w:val="20"/>
                <w:szCs w:val="20"/>
                <w:color w:val="auto"/>
              </w:rPr>
            </w:pPr>
          </w:p>
        </w:tc>
        <w:tc>
          <w:tcPr>
            <w:tcW w:w="280" w:type="dxa"/>
            <w:vAlign w:val="bottom"/>
            <w:tcBorders>
              <w:bottom w:val="single" w:sz="8" w:color="231F20"/>
            </w:tcBorders>
            <w:shd w:val="clear" w:color="auto" w:fill="EAEBEC"/>
          </w:tcPr>
          <w:p>
            <w:pPr>
              <w:jc w:val="right"/>
              <w:ind w:right="80"/>
              <w:spacing w:after="0"/>
              <w:rPr>
                <w:sz w:val="20"/>
                <w:szCs w:val="20"/>
                <w:color w:val="auto"/>
              </w:rPr>
            </w:pPr>
            <w:r>
              <w:rPr>
                <w:rFonts w:ascii="Times New Roman" w:cs="Times New Roman" w:eastAsia="Times New Roman" w:hAnsi="Times New Roman"/>
                <w:sz w:val="20"/>
                <w:szCs w:val="20"/>
                <w:color w:val="231F20"/>
                <w:w w:val="79"/>
              </w:rPr>
              <w:t>$</w:t>
            </w:r>
          </w:p>
        </w:tc>
        <w:tc>
          <w:tcPr>
            <w:tcW w:w="106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(8,389)</w:t>
            </w:r>
          </w:p>
        </w:tc>
        <w:tc>
          <w:tcPr>
            <w:tcW w:w="100" w:type="dxa"/>
            <w:vAlign w:val="bottom"/>
            <w:shd w:val="clear" w:color="auto" w:fill="EAEBEC"/>
          </w:tcPr>
          <w:p>
            <w:pPr>
              <w:spacing w:after="0"/>
              <w:rPr>
                <w:sz w:val="20"/>
                <w:szCs w:val="20"/>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14. Commitments and Contingencies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Baseball Stadium Naming Rights Commitment</w:t>
      </w:r>
    </w:p>
    <w:p>
      <w:pPr>
        <w:spacing w:after="0" w:line="12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31F20"/>
        </w:rPr>
        <w:t>In March 2003, the Company entered into an agreement with San Diego Ballpark Funding LLC and Padres L.P. to name the San Diego Padres’ new stadium Petco Park. The naming rights include signage, advertising and other promotional benefits. Pursuant to the agreement, the Company pays an annual contract fee. Fees for fiscal 2025, 2024, and 2023 were $5.1 million, $5.0 million, and $4.6 million, respectively. These fees are included in selling, general and administrative expenses in the consolidated statements of operations and will be adjusted by the maximum annual change related to the San Diego consumer price index per year through the 2030 Major League Baseball season.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Litigation</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31F20"/>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15. Reportable Segment</w:t>
      </w:r>
    </w:p>
    <w:p>
      <w:pPr>
        <w:spacing w:after="0" w:line="124"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231F20"/>
        </w:rPr>
        <w:t>The following represents segment information for the Company’s single operating segment, for the periods presented (in thousands):</w:t>
      </w:r>
    </w:p>
    <w:p>
      <w:pPr>
        <w:sectPr>
          <w:pgSz w:w="11880" w:h="15480" w:orient="portrait"/>
          <w:cols w:equalWidth="0" w:num="1">
            <w:col w:w="9280"/>
          </w:cols>
          <w:pgMar w:left="1260" w:top="1236"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96</w:t>
      </w:r>
    </w:p>
    <w:p>
      <w:pPr>
        <w:sectPr>
          <w:pgSz w:w="11880" w:h="15480" w:orient="portrait"/>
          <w:cols w:equalWidth="0" w:num="1">
            <w:col w:w="9280"/>
          </w:cols>
          <w:pgMar w:left="1260" w:top="1236" w:right="1340" w:bottom="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13"/>
        </w:trPr>
        <w:tc>
          <w:tcPr>
            <w:tcW w:w="3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231F20"/>
              </w:rPr>
              <w:t>Fiscal years ended</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4"/>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231F20"/>
              </w:rPr>
              <w:t>January 31,</w:t>
            </w:r>
          </w:p>
        </w:tc>
        <w:tc>
          <w:tcPr>
            <w:tcW w:w="140" w:type="dxa"/>
            <w:vAlign w:val="bottom"/>
          </w:tcPr>
          <w:p>
            <w:pPr>
              <w:spacing w:after="0"/>
              <w:rPr>
                <w:sz w:val="16"/>
                <w:szCs w:val="16"/>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231F20"/>
              </w:rPr>
              <w:t>February 1,</w:t>
            </w:r>
          </w:p>
        </w:tc>
        <w:tc>
          <w:tcPr>
            <w:tcW w:w="26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231F20"/>
                <w:w w:val="98"/>
              </w:rPr>
              <w:t>February 3,</w:t>
            </w:r>
          </w:p>
        </w:tc>
      </w:tr>
      <w:tr>
        <w:trPr>
          <w:trHeight w:val="203"/>
        </w:trPr>
        <w:tc>
          <w:tcPr>
            <w:tcW w:w="3840" w:type="dxa"/>
            <w:vAlign w:val="bottom"/>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jc w:val="center"/>
              <w:ind w:right="164"/>
              <w:spacing w:after="0"/>
              <w:rPr>
                <w:sz w:val="20"/>
                <w:szCs w:val="20"/>
                <w:color w:val="auto"/>
              </w:rPr>
            </w:pPr>
            <w:r>
              <w:rPr>
                <w:rFonts w:ascii="Times New Roman" w:cs="Times New Roman" w:eastAsia="Times New Roman" w:hAnsi="Times New Roman"/>
                <w:sz w:val="16"/>
                <w:szCs w:val="16"/>
                <w:b w:val="1"/>
                <w:bCs w:val="1"/>
                <w:color w:val="231F20"/>
                <w:w w:val="99"/>
              </w:rPr>
              <w:t>2026</w:t>
            </w:r>
          </w:p>
        </w:tc>
        <w:tc>
          <w:tcPr>
            <w:tcW w:w="260" w:type="dxa"/>
            <w:vAlign w:val="bottom"/>
          </w:tcPr>
          <w:p>
            <w:pPr>
              <w:spacing w:after="0"/>
              <w:rPr>
                <w:sz w:val="17"/>
                <w:szCs w:val="17"/>
                <w:color w:val="auto"/>
              </w:rPr>
            </w:pPr>
          </w:p>
        </w:tc>
        <w:tc>
          <w:tcPr>
            <w:tcW w:w="140" w:type="dxa"/>
            <w:vAlign w:val="bottom"/>
            <w:tcBorders>
              <w:bottom w:val="single" w:sz="8" w:color="231F20"/>
            </w:tcBorders>
          </w:tcPr>
          <w:p>
            <w:pPr>
              <w:spacing w:after="0"/>
              <w:rPr>
                <w:sz w:val="17"/>
                <w:szCs w:val="17"/>
                <w:color w:val="auto"/>
              </w:rPr>
            </w:pPr>
          </w:p>
        </w:tc>
        <w:tc>
          <w:tcPr>
            <w:tcW w:w="1500" w:type="dxa"/>
            <w:vAlign w:val="bottom"/>
            <w:tcBorders>
              <w:bottom w:val="single" w:sz="8" w:color="231F20"/>
            </w:tcBorders>
          </w:tcPr>
          <w:p>
            <w:pPr>
              <w:jc w:val="center"/>
              <w:ind w:right="45"/>
              <w:spacing w:after="0"/>
              <w:rPr>
                <w:sz w:val="20"/>
                <w:szCs w:val="20"/>
                <w:color w:val="auto"/>
              </w:rPr>
            </w:pPr>
            <w:r>
              <w:rPr>
                <w:rFonts w:ascii="Times New Roman" w:cs="Times New Roman" w:eastAsia="Times New Roman" w:hAnsi="Times New Roman"/>
                <w:sz w:val="16"/>
                <w:szCs w:val="16"/>
                <w:b w:val="1"/>
                <w:bCs w:val="1"/>
                <w:color w:val="231F20"/>
                <w:w w:val="99"/>
              </w:rPr>
              <w:t>2025</w:t>
            </w:r>
          </w:p>
        </w:tc>
        <w:tc>
          <w:tcPr>
            <w:tcW w:w="260" w:type="dxa"/>
            <w:vAlign w:val="bottom"/>
          </w:tcPr>
          <w:p>
            <w:pPr>
              <w:spacing w:after="0"/>
              <w:rPr>
                <w:sz w:val="17"/>
                <w:szCs w:val="17"/>
                <w:color w:val="auto"/>
              </w:rPr>
            </w:pPr>
          </w:p>
        </w:tc>
        <w:tc>
          <w:tcPr>
            <w:tcW w:w="26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jc w:val="center"/>
              <w:ind w:right="164"/>
              <w:spacing w:after="0"/>
              <w:rPr>
                <w:sz w:val="20"/>
                <w:szCs w:val="20"/>
                <w:color w:val="auto"/>
              </w:rPr>
            </w:pPr>
            <w:r>
              <w:rPr>
                <w:rFonts w:ascii="Times New Roman" w:cs="Times New Roman" w:eastAsia="Times New Roman" w:hAnsi="Times New Roman"/>
                <w:sz w:val="16"/>
                <w:szCs w:val="16"/>
                <w:b w:val="1"/>
                <w:bCs w:val="1"/>
                <w:color w:val="231F20"/>
                <w:w w:val="99"/>
              </w:rPr>
              <w:t>2024</w:t>
            </w:r>
          </w:p>
        </w:tc>
        <w:tc>
          <w:tcPr>
            <w:tcW w:w="80" w:type="dxa"/>
            <w:vAlign w:val="bottom"/>
          </w:tcPr>
          <w:p>
            <w:pPr>
              <w:spacing w:after="0"/>
              <w:rPr>
                <w:sz w:val="17"/>
                <w:szCs w:val="17"/>
                <w:color w:val="auto"/>
              </w:rPr>
            </w:pPr>
          </w:p>
        </w:tc>
      </w:tr>
      <w:tr>
        <w:trPr>
          <w:trHeight w:val="193"/>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center"/>
              <w:ind w:right="184"/>
              <w:spacing w:after="0"/>
              <w:rPr>
                <w:sz w:val="20"/>
                <w:szCs w:val="20"/>
                <w:color w:val="auto"/>
              </w:rPr>
            </w:pPr>
            <w:r>
              <w:rPr>
                <w:rFonts w:ascii="Times New Roman" w:cs="Times New Roman" w:eastAsia="Times New Roman" w:hAnsi="Times New Roman"/>
                <w:sz w:val="16"/>
                <w:szCs w:val="16"/>
                <w:b w:val="1"/>
                <w:bCs w:val="1"/>
                <w:color w:val="231F20"/>
                <w:w w:val="97"/>
              </w:rPr>
              <w:t>(52 weeks)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231F20"/>
              </w:rPr>
              <w:t>(52 weeks)</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center"/>
              <w:ind w:right="164"/>
              <w:spacing w:after="0"/>
              <w:rPr>
                <w:sz w:val="20"/>
                <w:szCs w:val="20"/>
                <w:color w:val="auto"/>
              </w:rPr>
            </w:pPr>
            <w:r>
              <w:rPr>
                <w:rFonts w:ascii="Times New Roman" w:cs="Times New Roman" w:eastAsia="Times New Roman" w:hAnsi="Times New Roman"/>
                <w:sz w:val="16"/>
                <w:szCs w:val="16"/>
                <w:b w:val="1"/>
                <w:bCs w:val="1"/>
                <w:color w:val="231F20"/>
              </w:rPr>
              <w:t>(53 weeks)</w:t>
            </w:r>
          </w:p>
        </w:tc>
        <w:tc>
          <w:tcPr>
            <w:tcW w:w="80" w:type="dxa"/>
            <w:vAlign w:val="bottom"/>
          </w:tcPr>
          <w:p>
            <w:pPr>
              <w:spacing w:after="0"/>
              <w:rPr>
                <w:sz w:val="16"/>
                <w:szCs w:val="16"/>
                <w:color w:val="auto"/>
              </w:rPr>
            </w:pPr>
          </w:p>
        </w:tc>
      </w:tr>
      <w:tr>
        <w:trPr>
          <w:trHeight w:val="244"/>
        </w:trPr>
        <w:tc>
          <w:tcPr>
            <w:tcW w:w="3840" w:type="dxa"/>
            <w:vAlign w:val="bottom"/>
            <w:shd w:val="clear" w:color="auto" w:fill="EAEBEC"/>
          </w:tcPr>
          <w:p>
            <w:pPr>
              <w:spacing w:after="0"/>
              <w:rPr>
                <w:sz w:val="20"/>
                <w:szCs w:val="20"/>
                <w:color w:val="auto"/>
              </w:rPr>
            </w:pPr>
            <w:r>
              <w:rPr>
                <w:rFonts w:ascii="Times New Roman" w:cs="Times New Roman" w:eastAsia="Times New Roman" w:hAnsi="Times New Roman"/>
                <w:sz w:val="20"/>
                <w:szCs w:val="20"/>
                <w:color w:val="231F20"/>
              </w:rPr>
              <w:t>Revenue</w:t>
            </w:r>
          </w:p>
        </w:tc>
        <w:tc>
          <w:tcPr>
            <w:tcW w:w="260" w:type="dxa"/>
            <w:vAlign w:val="bottom"/>
            <w:shd w:val="clear" w:color="auto" w:fill="EAEB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3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5,961,467</w:t>
            </w:r>
          </w:p>
        </w:tc>
        <w:tc>
          <w:tcPr>
            <w:tcW w:w="260" w:type="dxa"/>
            <w:vAlign w:val="bottom"/>
            <w:shd w:val="clear" w:color="auto" w:fill="EAEBEC"/>
          </w:tcPr>
          <w:p>
            <w:pPr>
              <w:spacing w:after="0"/>
              <w:rPr>
                <w:sz w:val="21"/>
                <w:szCs w:val="21"/>
                <w:color w:val="auto"/>
              </w:rPr>
            </w:pPr>
          </w:p>
        </w:tc>
        <w:tc>
          <w:tcPr>
            <w:tcW w:w="14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6,116,462</w:t>
            </w:r>
          </w:p>
        </w:tc>
        <w:tc>
          <w:tcPr>
            <w:tcW w:w="260" w:type="dxa"/>
            <w:vAlign w:val="bottom"/>
            <w:shd w:val="clear" w:color="auto" w:fill="EAEBEC"/>
          </w:tcPr>
          <w:p>
            <w:pPr>
              <w:spacing w:after="0"/>
              <w:rPr>
                <w:sz w:val="21"/>
                <w:szCs w:val="21"/>
                <w:color w:val="auto"/>
              </w:rPr>
            </w:pPr>
          </w:p>
        </w:tc>
        <w:tc>
          <w:tcPr>
            <w:tcW w:w="260" w:type="dxa"/>
            <w:vAlign w:val="bottom"/>
            <w:shd w:val="clear" w:color="auto" w:fill="EAEBEC"/>
          </w:tcPr>
          <w:p>
            <w:pPr>
              <w:jc w:val="right"/>
              <w:ind w:right="60"/>
              <w:spacing w:after="0"/>
              <w:rPr>
                <w:sz w:val="20"/>
                <w:szCs w:val="20"/>
                <w:color w:val="auto"/>
              </w:rPr>
            </w:pPr>
            <w:r>
              <w:rPr>
                <w:rFonts w:ascii="Times New Roman" w:cs="Times New Roman" w:eastAsia="Times New Roman" w:hAnsi="Times New Roman"/>
                <w:sz w:val="20"/>
                <w:szCs w:val="20"/>
                <w:color w:val="231F20"/>
                <w:w w:val="79"/>
              </w:rPr>
              <w:t>$</w:t>
            </w:r>
          </w:p>
        </w:tc>
        <w:tc>
          <w:tcPr>
            <w:tcW w:w="13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6,255,284</w:t>
            </w:r>
          </w:p>
        </w:tc>
        <w:tc>
          <w:tcPr>
            <w:tcW w:w="80" w:type="dxa"/>
            <w:vAlign w:val="bottom"/>
            <w:shd w:val="clear" w:color="auto" w:fill="EAEBEC"/>
          </w:tcPr>
          <w:p>
            <w:pPr>
              <w:spacing w:after="0"/>
              <w:rPr>
                <w:sz w:val="21"/>
                <w:szCs w:val="21"/>
                <w:color w:val="auto"/>
              </w:rPr>
            </w:pPr>
          </w:p>
        </w:tc>
      </w:tr>
      <w:tr>
        <w:trPr>
          <w:trHeight w:val="244"/>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231F20"/>
              </w:rPr>
              <w:t>Add (deduct):</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38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Cost of sales</w:t>
            </w:r>
          </w:p>
        </w:tc>
        <w:tc>
          <w:tcPr>
            <w:tcW w:w="260" w:type="dxa"/>
            <w:vAlign w:val="bottom"/>
            <w:shd w:val="clear" w:color="auto" w:fill="EAEBEC"/>
          </w:tcPr>
          <w:p>
            <w:pPr>
              <w:spacing w:after="0"/>
              <w:rPr>
                <w:sz w:val="21"/>
                <w:szCs w:val="21"/>
                <w:color w:val="auto"/>
              </w:rPr>
            </w:pPr>
          </w:p>
        </w:tc>
        <w:tc>
          <w:tcPr>
            <w:tcW w:w="1640" w:type="dxa"/>
            <w:vAlign w:val="bottom"/>
            <w:gridSpan w:val="2"/>
            <w:shd w:val="clear" w:color="auto" w:fill="EAEBEC"/>
          </w:tcPr>
          <w:p>
            <w:pPr>
              <w:jc w:val="right"/>
              <w:ind w:right="200"/>
              <w:spacing w:after="0"/>
              <w:rPr>
                <w:sz w:val="20"/>
                <w:szCs w:val="20"/>
                <w:color w:val="auto"/>
              </w:rPr>
            </w:pPr>
            <w:r>
              <w:rPr>
                <w:rFonts w:ascii="Times New Roman" w:cs="Times New Roman" w:eastAsia="Times New Roman" w:hAnsi="Times New Roman"/>
                <w:sz w:val="20"/>
                <w:szCs w:val="20"/>
                <w:color w:val="231F20"/>
              </w:rPr>
              <w:t>(3,656,395)</w:t>
            </w:r>
          </w:p>
        </w:tc>
        <w:tc>
          <w:tcPr>
            <w:tcW w:w="140" w:type="dxa"/>
            <w:vAlign w:val="bottom"/>
            <w:shd w:val="clear" w:color="auto" w:fill="EAEBEC"/>
          </w:tcPr>
          <w:p>
            <w:pPr>
              <w:spacing w:after="0"/>
              <w:rPr>
                <w:sz w:val="21"/>
                <w:szCs w:val="21"/>
                <w:color w:val="auto"/>
              </w:rPr>
            </w:pPr>
          </w:p>
        </w:tc>
        <w:tc>
          <w:tcPr>
            <w:tcW w:w="1760" w:type="dxa"/>
            <w:vAlign w:val="bottom"/>
            <w:gridSpan w:val="2"/>
            <w:shd w:val="clear" w:color="auto" w:fill="EAEBEC"/>
          </w:tcPr>
          <w:p>
            <w:pPr>
              <w:jc w:val="right"/>
              <w:ind w:right="200"/>
              <w:spacing w:after="0"/>
              <w:rPr>
                <w:sz w:val="20"/>
                <w:szCs w:val="20"/>
                <w:color w:val="auto"/>
              </w:rPr>
            </w:pPr>
            <w:r>
              <w:rPr>
                <w:rFonts w:ascii="Times New Roman" w:cs="Times New Roman" w:eastAsia="Times New Roman" w:hAnsi="Times New Roman"/>
                <w:sz w:val="20"/>
                <w:szCs w:val="20"/>
                <w:color w:val="231F20"/>
              </w:rPr>
              <w:t>(3,792,060)</w:t>
            </w:r>
          </w:p>
        </w:tc>
        <w:tc>
          <w:tcPr>
            <w:tcW w:w="260" w:type="dxa"/>
            <w:vAlign w:val="bottom"/>
            <w:shd w:val="clear" w:color="auto" w:fill="EAEBEC"/>
          </w:tcPr>
          <w:p>
            <w:pPr>
              <w:spacing w:after="0"/>
              <w:rPr>
                <w:sz w:val="21"/>
                <w:szCs w:val="21"/>
                <w:color w:val="auto"/>
              </w:rPr>
            </w:pPr>
          </w:p>
        </w:tc>
        <w:tc>
          <w:tcPr>
            <w:tcW w:w="146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(3,901,449)</w:t>
            </w:r>
          </w:p>
        </w:tc>
      </w:tr>
      <w:tr>
        <w:trPr>
          <w:trHeight w:val="225"/>
        </w:trPr>
        <w:tc>
          <w:tcPr>
            <w:tcW w:w="38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Advertising and marketing</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38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expenses</w:t>
            </w:r>
          </w:p>
        </w:tc>
        <w:tc>
          <w:tcPr>
            <w:tcW w:w="2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(157,766)</w:t>
            </w:r>
          </w:p>
        </w:tc>
        <w:tc>
          <w:tcPr>
            <w:tcW w:w="14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(156,086)</w:t>
            </w:r>
          </w:p>
        </w:tc>
        <w:tc>
          <w:tcPr>
            <w:tcW w:w="26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(194,429)</w:t>
            </w:r>
          </w:p>
        </w:tc>
      </w:tr>
      <w:tr>
        <w:trPr>
          <w:trHeight w:val="225"/>
        </w:trPr>
        <w:tc>
          <w:tcPr>
            <w:tcW w:w="3840" w:type="dxa"/>
            <w:vAlign w:val="bottom"/>
            <w:shd w:val="clear" w:color="auto" w:fill="EAEB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Equity-based compensation - general and</w:t>
            </w:r>
          </w:p>
        </w:tc>
        <w:tc>
          <w:tcPr>
            <w:tcW w:w="260" w:type="dxa"/>
            <w:vAlign w:val="bottom"/>
            <w:shd w:val="clear" w:color="auto" w:fill="EAEBEC"/>
          </w:tcPr>
          <w:p>
            <w:pPr>
              <w:spacing w:after="0"/>
              <w:rPr>
                <w:sz w:val="19"/>
                <w:szCs w:val="19"/>
                <w:color w:val="auto"/>
              </w:rPr>
            </w:pPr>
          </w:p>
        </w:tc>
        <w:tc>
          <w:tcPr>
            <w:tcW w:w="1380" w:type="dxa"/>
            <w:vAlign w:val="bottom"/>
            <w:shd w:val="clear" w:color="auto" w:fill="EAEBEC"/>
          </w:tcPr>
          <w:p>
            <w:pPr>
              <w:spacing w:after="0"/>
              <w:rPr>
                <w:sz w:val="19"/>
                <w:szCs w:val="19"/>
                <w:color w:val="auto"/>
              </w:rPr>
            </w:pPr>
          </w:p>
        </w:tc>
        <w:tc>
          <w:tcPr>
            <w:tcW w:w="260" w:type="dxa"/>
            <w:vAlign w:val="bottom"/>
            <w:shd w:val="clear" w:color="auto" w:fill="EAEBEC"/>
          </w:tcPr>
          <w:p>
            <w:pPr>
              <w:spacing w:after="0"/>
              <w:rPr>
                <w:sz w:val="19"/>
                <w:szCs w:val="19"/>
                <w:color w:val="auto"/>
              </w:rPr>
            </w:pPr>
          </w:p>
        </w:tc>
        <w:tc>
          <w:tcPr>
            <w:tcW w:w="140" w:type="dxa"/>
            <w:vAlign w:val="bottom"/>
            <w:shd w:val="clear" w:color="auto" w:fill="EAEBEC"/>
          </w:tcPr>
          <w:p>
            <w:pPr>
              <w:spacing w:after="0"/>
              <w:rPr>
                <w:sz w:val="19"/>
                <w:szCs w:val="19"/>
                <w:color w:val="auto"/>
              </w:rPr>
            </w:pPr>
          </w:p>
        </w:tc>
        <w:tc>
          <w:tcPr>
            <w:tcW w:w="1500" w:type="dxa"/>
            <w:vAlign w:val="bottom"/>
            <w:shd w:val="clear" w:color="auto" w:fill="EAEBEC"/>
          </w:tcPr>
          <w:p>
            <w:pPr>
              <w:spacing w:after="0"/>
              <w:rPr>
                <w:sz w:val="19"/>
                <w:szCs w:val="19"/>
                <w:color w:val="auto"/>
              </w:rPr>
            </w:pPr>
          </w:p>
        </w:tc>
        <w:tc>
          <w:tcPr>
            <w:tcW w:w="260" w:type="dxa"/>
            <w:vAlign w:val="bottom"/>
            <w:shd w:val="clear" w:color="auto" w:fill="EAEBEC"/>
          </w:tcPr>
          <w:p>
            <w:pPr>
              <w:spacing w:after="0"/>
              <w:rPr>
                <w:sz w:val="19"/>
                <w:szCs w:val="19"/>
                <w:color w:val="auto"/>
              </w:rPr>
            </w:pPr>
          </w:p>
        </w:tc>
        <w:tc>
          <w:tcPr>
            <w:tcW w:w="260" w:type="dxa"/>
            <w:vAlign w:val="bottom"/>
            <w:shd w:val="clear" w:color="auto" w:fill="EAEBEC"/>
          </w:tcPr>
          <w:p>
            <w:pPr>
              <w:spacing w:after="0"/>
              <w:rPr>
                <w:sz w:val="19"/>
                <w:szCs w:val="19"/>
                <w:color w:val="auto"/>
              </w:rPr>
            </w:pPr>
          </w:p>
        </w:tc>
        <w:tc>
          <w:tcPr>
            <w:tcW w:w="1380" w:type="dxa"/>
            <w:vAlign w:val="bottom"/>
            <w:shd w:val="clear" w:color="auto" w:fill="EAEBEC"/>
          </w:tcPr>
          <w:p>
            <w:pPr>
              <w:spacing w:after="0"/>
              <w:rPr>
                <w:sz w:val="19"/>
                <w:szCs w:val="19"/>
                <w:color w:val="auto"/>
              </w:rPr>
            </w:pPr>
          </w:p>
        </w:tc>
        <w:tc>
          <w:tcPr>
            <w:tcW w:w="80" w:type="dxa"/>
            <w:vAlign w:val="bottom"/>
            <w:shd w:val="clear" w:color="auto" w:fill="EAEBEC"/>
          </w:tcPr>
          <w:p>
            <w:pPr>
              <w:spacing w:after="0"/>
              <w:rPr>
                <w:sz w:val="19"/>
                <w:szCs w:val="19"/>
                <w:color w:val="auto"/>
              </w:rPr>
            </w:pPr>
          </w:p>
        </w:tc>
      </w:tr>
      <w:tr>
        <w:trPr>
          <w:trHeight w:val="249"/>
        </w:trPr>
        <w:tc>
          <w:tcPr>
            <w:tcW w:w="3840" w:type="dxa"/>
            <w:vAlign w:val="bottom"/>
            <w:shd w:val="clear" w:color="auto" w:fill="EAEBEC"/>
          </w:tcPr>
          <w:p>
            <w:pPr>
              <w:ind w:left="360"/>
              <w:spacing w:after="0"/>
              <w:rPr>
                <w:sz w:val="20"/>
                <w:szCs w:val="20"/>
                <w:color w:val="auto"/>
              </w:rPr>
            </w:pPr>
            <w:r>
              <w:rPr>
                <w:rFonts w:ascii="Times New Roman" w:cs="Times New Roman" w:eastAsia="Times New Roman" w:hAnsi="Times New Roman"/>
                <w:sz w:val="20"/>
                <w:szCs w:val="20"/>
                <w:color w:val="231F20"/>
              </w:rPr>
              <w:t>administrative</w:t>
            </w:r>
          </w:p>
        </w:tc>
        <w:tc>
          <w:tcPr>
            <w:tcW w:w="260" w:type="dxa"/>
            <w:vAlign w:val="bottom"/>
            <w:shd w:val="clear" w:color="auto" w:fill="EAEBEC"/>
          </w:tcPr>
          <w:p>
            <w:pPr>
              <w:spacing w:after="0"/>
              <w:rPr>
                <w:sz w:val="21"/>
                <w:szCs w:val="21"/>
                <w:color w:val="auto"/>
              </w:rPr>
            </w:pPr>
          </w:p>
        </w:tc>
        <w:tc>
          <w:tcPr>
            <w:tcW w:w="1640" w:type="dxa"/>
            <w:vAlign w:val="bottom"/>
            <w:gridSpan w:val="2"/>
            <w:shd w:val="clear" w:color="auto" w:fill="EAEBEC"/>
          </w:tcPr>
          <w:p>
            <w:pPr>
              <w:jc w:val="right"/>
              <w:ind w:right="200"/>
              <w:spacing w:after="0"/>
              <w:rPr>
                <w:sz w:val="20"/>
                <w:szCs w:val="20"/>
                <w:color w:val="auto"/>
              </w:rPr>
            </w:pPr>
            <w:r>
              <w:rPr>
                <w:rFonts w:ascii="Times New Roman" w:cs="Times New Roman" w:eastAsia="Times New Roman" w:hAnsi="Times New Roman"/>
                <w:sz w:val="20"/>
                <w:szCs w:val="20"/>
                <w:color w:val="231F20"/>
              </w:rPr>
              <w:t>(32,188)</w:t>
            </w:r>
          </w:p>
        </w:tc>
        <w:tc>
          <w:tcPr>
            <w:tcW w:w="140" w:type="dxa"/>
            <w:vAlign w:val="bottom"/>
            <w:shd w:val="clear" w:color="auto" w:fill="EAEBEC"/>
          </w:tcPr>
          <w:p>
            <w:pPr>
              <w:spacing w:after="0"/>
              <w:rPr>
                <w:sz w:val="21"/>
                <w:szCs w:val="21"/>
                <w:color w:val="auto"/>
              </w:rPr>
            </w:pPr>
          </w:p>
        </w:tc>
        <w:tc>
          <w:tcPr>
            <w:tcW w:w="1760" w:type="dxa"/>
            <w:vAlign w:val="bottom"/>
            <w:gridSpan w:val="2"/>
            <w:shd w:val="clear" w:color="auto" w:fill="EAEBEC"/>
          </w:tcPr>
          <w:p>
            <w:pPr>
              <w:jc w:val="right"/>
              <w:ind w:right="200"/>
              <w:spacing w:after="0"/>
              <w:rPr>
                <w:sz w:val="20"/>
                <w:szCs w:val="20"/>
                <w:color w:val="auto"/>
              </w:rPr>
            </w:pPr>
            <w:r>
              <w:rPr>
                <w:rFonts w:ascii="Times New Roman" w:cs="Times New Roman" w:eastAsia="Times New Roman" w:hAnsi="Times New Roman"/>
                <w:sz w:val="20"/>
                <w:szCs w:val="20"/>
                <w:color w:val="231F20"/>
              </w:rPr>
              <w:t>(50,212)</w:t>
            </w:r>
          </w:p>
        </w:tc>
        <w:tc>
          <w:tcPr>
            <w:tcW w:w="260" w:type="dxa"/>
            <w:vAlign w:val="bottom"/>
            <w:shd w:val="clear" w:color="auto" w:fill="EAEBEC"/>
          </w:tcPr>
          <w:p>
            <w:pPr>
              <w:spacing w:after="0"/>
              <w:rPr>
                <w:sz w:val="21"/>
                <w:szCs w:val="21"/>
                <w:color w:val="auto"/>
              </w:rPr>
            </w:pPr>
          </w:p>
        </w:tc>
        <w:tc>
          <w:tcPr>
            <w:tcW w:w="146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(81,859)</w:t>
            </w:r>
          </w:p>
        </w:tc>
      </w:tr>
      <w:tr>
        <w:trPr>
          <w:trHeight w:val="225"/>
        </w:trPr>
        <w:tc>
          <w:tcPr>
            <w:tcW w:w="38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Other general and</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38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administrative expenses (1)</w:t>
            </w:r>
          </w:p>
        </w:tc>
        <w:tc>
          <w:tcPr>
            <w:tcW w:w="2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(1,994,685)</w:t>
            </w:r>
          </w:p>
        </w:tc>
        <w:tc>
          <w:tcPr>
            <w:tcW w:w="14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(2,111,053)</w:t>
            </w:r>
          </w:p>
        </w:tc>
        <w:tc>
          <w:tcPr>
            <w:tcW w:w="26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(2,035,337)</w:t>
            </w:r>
          </w:p>
        </w:tc>
      </w:tr>
      <w:tr>
        <w:trPr>
          <w:trHeight w:val="244"/>
        </w:trPr>
        <w:tc>
          <w:tcPr>
            <w:tcW w:w="38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Goodwill impairment</w:t>
            </w:r>
          </w:p>
        </w:tc>
        <w:tc>
          <w:tcPr>
            <w:tcW w:w="260" w:type="dxa"/>
            <w:vAlign w:val="bottom"/>
            <w:shd w:val="clear" w:color="auto" w:fill="EAEBEC"/>
          </w:tcPr>
          <w:p>
            <w:pPr>
              <w:spacing w:after="0"/>
              <w:rPr>
                <w:sz w:val="21"/>
                <w:szCs w:val="21"/>
                <w:color w:val="auto"/>
              </w:rPr>
            </w:pPr>
          </w:p>
        </w:tc>
        <w:tc>
          <w:tcPr>
            <w:tcW w:w="1640" w:type="dxa"/>
            <w:vAlign w:val="bottom"/>
            <w:gridSpan w:val="2"/>
            <w:shd w:val="clear" w:color="auto" w:fill="EAEBEC"/>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EAEBEC"/>
          </w:tcPr>
          <w:p>
            <w:pPr>
              <w:spacing w:after="0"/>
              <w:rPr>
                <w:sz w:val="21"/>
                <w:szCs w:val="21"/>
                <w:color w:val="auto"/>
              </w:rPr>
            </w:pPr>
          </w:p>
        </w:tc>
        <w:tc>
          <w:tcPr>
            <w:tcW w:w="1760" w:type="dxa"/>
            <w:vAlign w:val="bottom"/>
            <w:gridSpan w:val="2"/>
            <w:shd w:val="clear" w:color="auto" w:fill="EAEBEC"/>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shd w:val="clear" w:color="auto" w:fill="EAEBEC"/>
          </w:tcPr>
          <w:p>
            <w:pPr>
              <w:spacing w:after="0"/>
              <w:rPr>
                <w:sz w:val="21"/>
                <w:szCs w:val="21"/>
                <w:color w:val="auto"/>
              </w:rPr>
            </w:pPr>
          </w:p>
        </w:tc>
        <w:tc>
          <w:tcPr>
            <w:tcW w:w="146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(1,222,524)</w:t>
            </w:r>
          </w:p>
        </w:tc>
      </w:tr>
      <w:tr>
        <w:trPr>
          <w:trHeight w:val="244"/>
        </w:trPr>
        <w:tc>
          <w:tcPr>
            <w:tcW w:w="3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income</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6,305</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3,714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3,405</w:t>
            </w:r>
          </w:p>
        </w:tc>
        <w:tc>
          <w:tcPr>
            <w:tcW w:w="80" w:type="dxa"/>
            <w:vAlign w:val="bottom"/>
          </w:tcPr>
          <w:p>
            <w:pPr>
              <w:spacing w:after="0"/>
              <w:rPr>
                <w:sz w:val="21"/>
                <w:szCs w:val="21"/>
                <w:color w:val="auto"/>
              </w:rPr>
            </w:pPr>
          </w:p>
        </w:tc>
      </w:tr>
      <w:tr>
        <w:trPr>
          <w:trHeight w:val="244"/>
        </w:trPr>
        <w:tc>
          <w:tcPr>
            <w:tcW w:w="38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Interest expense</w:t>
            </w:r>
          </w:p>
        </w:tc>
        <w:tc>
          <w:tcPr>
            <w:tcW w:w="260" w:type="dxa"/>
            <w:vAlign w:val="bottom"/>
            <w:shd w:val="clear" w:color="auto" w:fill="EAEBEC"/>
          </w:tcPr>
          <w:p>
            <w:pPr>
              <w:spacing w:after="0"/>
              <w:rPr>
                <w:sz w:val="21"/>
                <w:szCs w:val="21"/>
                <w:color w:val="auto"/>
              </w:rPr>
            </w:pPr>
          </w:p>
        </w:tc>
        <w:tc>
          <w:tcPr>
            <w:tcW w:w="1640" w:type="dxa"/>
            <w:vAlign w:val="bottom"/>
            <w:gridSpan w:val="2"/>
            <w:shd w:val="clear" w:color="auto" w:fill="EAEBEC"/>
          </w:tcPr>
          <w:p>
            <w:pPr>
              <w:jc w:val="right"/>
              <w:ind w:right="200"/>
              <w:spacing w:after="0"/>
              <w:rPr>
                <w:sz w:val="20"/>
                <w:szCs w:val="20"/>
                <w:color w:val="auto"/>
              </w:rPr>
            </w:pPr>
            <w:r>
              <w:rPr>
                <w:rFonts w:ascii="Times New Roman" w:cs="Times New Roman" w:eastAsia="Times New Roman" w:hAnsi="Times New Roman"/>
                <w:sz w:val="20"/>
                <w:szCs w:val="20"/>
                <w:color w:val="231F20"/>
              </w:rPr>
              <w:t>(131,199)</w:t>
            </w:r>
          </w:p>
        </w:tc>
        <w:tc>
          <w:tcPr>
            <w:tcW w:w="140" w:type="dxa"/>
            <w:vAlign w:val="bottom"/>
            <w:shd w:val="clear" w:color="auto" w:fill="EAEBEC"/>
          </w:tcPr>
          <w:p>
            <w:pPr>
              <w:spacing w:after="0"/>
              <w:rPr>
                <w:sz w:val="21"/>
                <w:szCs w:val="21"/>
                <w:color w:val="auto"/>
              </w:rPr>
            </w:pPr>
          </w:p>
        </w:tc>
        <w:tc>
          <w:tcPr>
            <w:tcW w:w="1760" w:type="dxa"/>
            <w:vAlign w:val="bottom"/>
            <w:gridSpan w:val="2"/>
            <w:shd w:val="clear" w:color="auto" w:fill="EAEBEC"/>
          </w:tcPr>
          <w:p>
            <w:pPr>
              <w:jc w:val="right"/>
              <w:ind w:right="200"/>
              <w:spacing w:after="0"/>
              <w:rPr>
                <w:sz w:val="20"/>
                <w:szCs w:val="20"/>
                <w:color w:val="auto"/>
              </w:rPr>
            </w:pPr>
            <w:r>
              <w:rPr>
                <w:rFonts w:ascii="Times New Roman" w:cs="Times New Roman" w:eastAsia="Times New Roman" w:hAnsi="Times New Roman"/>
                <w:sz w:val="20"/>
                <w:szCs w:val="20"/>
                <w:color w:val="231F20"/>
              </w:rPr>
              <w:t>(143,531)</w:t>
            </w:r>
          </w:p>
        </w:tc>
        <w:tc>
          <w:tcPr>
            <w:tcW w:w="260" w:type="dxa"/>
            <w:vAlign w:val="bottom"/>
            <w:shd w:val="clear" w:color="auto" w:fill="EAEBEC"/>
          </w:tcPr>
          <w:p>
            <w:pPr>
              <w:spacing w:after="0"/>
              <w:rPr>
                <w:sz w:val="21"/>
                <w:szCs w:val="21"/>
                <w:color w:val="auto"/>
              </w:rPr>
            </w:pPr>
          </w:p>
        </w:tc>
        <w:tc>
          <w:tcPr>
            <w:tcW w:w="1460" w:type="dxa"/>
            <w:vAlign w:val="bottom"/>
            <w:gridSpan w:val="2"/>
            <w:shd w:val="clear" w:color="auto" w:fill="EAEBEC"/>
          </w:tcPr>
          <w:p>
            <w:pPr>
              <w:jc w:val="right"/>
              <w:ind w:right="20"/>
              <w:spacing w:after="0"/>
              <w:rPr>
                <w:sz w:val="20"/>
                <w:szCs w:val="20"/>
                <w:color w:val="auto"/>
              </w:rPr>
            </w:pPr>
            <w:r>
              <w:rPr>
                <w:rFonts w:ascii="Times New Roman" w:cs="Times New Roman" w:eastAsia="Times New Roman" w:hAnsi="Times New Roman"/>
                <w:sz w:val="20"/>
                <w:szCs w:val="20"/>
                <w:color w:val="231F20"/>
              </w:rPr>
              <w:t>(150,909)</w:t>
            </w:r>
          </w:p>
        </w:tc>
      </w:tr>
      <w:tr>
        <w:trPr>
          <w:trHeight w:val="224"/>
        </w:trPr>
        <w:tc>
          <w:tcPr>
            <w:tcW w:w="384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Loss on partial</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3840" w:type="dxa"/>
            <w:vAlign w:val="bottom"/>
          </w:tcPr>
          <w:p>
            <w:pPr>
              <w:ind w:left="360"/>
              <w:spacing w:after="0"/>
              <w:rPr>
                <w:sz w:val="20"/>
                <w:szCs w:val="20"/>
                <w:color w:val="auto"/>
              </w:rPr>
            </w:pPr>
            <w:r>
              <w:rPr>
                <w:rFonts w:ascii="Times New Roman" w:cs="Times New Roman" w:eastAsia="Times New Roman" w:hAnsi="Times New Roman"/>
                <w:sz w:val="20"/>
                <w:szCs w:val="20"/>
                <w:color w:val="231F20"/>
              </w:rPr>
              <w:t>extinguishment of debt</w:t>
            </w:r>
          </w:p>
        </w:tc>
        <w:tc>
          <w:tcPr>
            <w:tcW w:w="2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(565)</w:t>
            </w:r>
          </w:p>
        </w:tc>
        <w:tc>
          <w:tcPr>
            <w:tcW w:w="140" w:type="dxa"/>
            <w:vAlign w:val="bottom"/>
          </w:tcPr>
          <w:p>
            <w:pPr>
              <w:spacing w:after="0"/>
              <w:rPr>
                <w:sz w:val="21"/>
                <w:szCs w:val="21"/>
                <w:color w:val="auto"/>
              </w:rPr>
            </w:pP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(920)</w:t>
            </w:r>
          </w:p>
        </w:tc>
      </w:tr>
      <w:tr>
        <w:trPr>
          <w:trHeight w:val="244"/>
        </w:trPr>
        <w:tc>
          <w:tcPr>
            <w:tcW w:w="3840" w:type="dxa"/>
            <w:vAlign w:val="bottom"/>
            <w:shd w:val="clear" w:color="auto" w:fill="EAEBEC"/>
          </w:tcPr>
          <w:p>
            <w:pPr>
              <w:ind w:left="200"/>
              <w:spacing w:after="0"/>
              <w:rPr>
                <w:sz w:val="20"/>
                <w:szCs w:val="20"/>
                <w:color w:val="auto"/>
              </w:rPr>
            </w:pPr>
            <w:r>
              <w:rPr>
                <w:rFonts w:ascii="Times New Roman" w:cs="Times New Roman" w:eastAsia="Times New Roman" w:hAnsi="Times New Roman"/>
                <w:sz w:val="20"/>
                <w:szCs w:val="20"/>
                <w:color w:val="231F20"/>
              </w:rPr>
              <w:t>Other non-operating income</w:t>
            </w:r>
          </w:p>
        </w:tc>
        <w:tc>
          <w:tcPr>
            <w:tcW w:w="260" w:type="dxa"/>
            <w:vAlign w:val="bottom"/>
            <w:shd w:val="clear" w:color="auto" w:fill="EAEBEC"/>
          </w:tcPr>
          <w:p>
            <w:pPr>
              <w:spacing w:after="0"/>
              <w:rPr>
                <w:sz w:val="21"/>
                <w:szCs w:val="21"/>
                <w:color w:val="auto"/>
              </w:rPr>
            </w:pPr>
          </w:p>
        </w:tc>
        <w:tc>
          <w:tcPr>
            <w:tcW w:w="1640" w:type="dxa"/>
            <w:vAlign w:val="bottom"/>
            <w:gridSpan w:val="2"/>
            <w:shd w:val="clear" w:color="auto" w:fill="EAEBEC"/>
          </w:tcPr>
          <w:p>
            <w:pPr>
              <w:jc w:val="right"/>
              <w:ind w:right="280"/>
              <w:spacing w:after="0"/>
              <w:rPr>
                <w:sz w:val="20"/>
                <w:szCs w:val="20"/>
                <w:color w:val="auto"/>
              </w:rPr>
            </w:pPr>
            <w:r>
              <w:rPr>
                <w:rFonts w:ascii="Times New Roman" w:cs="Times New Roman" w:eastAsia="Times New Roman" w:hAnsi="Times New Roman"/>
                <w:sz w:val="20"/>
                <w:szCs w:val="20"/>
                <w:color w:val="231F20"/>
              </w:rPr>
              <w:t>—</w:t>
            </w:r>
          </w:p>
        </w:tc>
        <w:tc>
          <w:tcPr>
            <w:tcW w:w="140" w:type="dxa"/>
            <w:vAlign w:val="bottom"/>
            <w:shd w:val="clear" w:color="auto" w:fill="EAEBEC"/>
          </w:tcPr>
          <w:p>
            <w:pPr>
              <w:spacing w:after="0"/>
              <w:rPr>
                <w:sz w:val="21"/>
                <w:szCs w:val="21"/>
                <w:color w:val="auto"/>
              </w:rPr>
            </w:pPr>
          </w:p>
        </w:tc>
        <w:tc>
          <w:tcPr>
            <w:tcW w:w="150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4,800</w:t>
            </w:r>
          </w:p>
        </w:tc>
        <w:tc>
          <w:tcPr>
            <w:tcW w:w="260" w:type="dxa"/>
            <w:vAlign w:val="bottom"/>
            <w:shd w:val="clear" w:color="auto" w:fill="EAEBEC"/>
          </w:tcPr>
          <w:p>
            <w:pPr>
              <w:spacing w:after="0"/>
              <w:rPr>
                <w:sz w:val="21"/>
                <w:szCs w:val="21"/>
                <w:color w:val="auto"/>
              </w:rPr>
            </w:pPr>
          </w:p>
        </w:tc>
        <w:tc>
          <w:tcPr>
            <w:tcW w:w="260" w:type="dxa"/>
            <w:vAlign w:val="bottom"/>
            <w:shd w:val="clear" w:color="auto" w:fill="EAEBEC"/>
          </w:tcPr>
          <w:p>
            <w:pPr>
              <w:spacing w:after="0"/>
              <w:rPr>
                <w:sz w:val="21"/>
                <w:szCs w:val="21"/>
                <w:color w:val="auto"/>
              </w:rPr>
            </w:pPr>
          </w:p>
        </w:tc>
        <w:tc>
          <w:tcPr>
            <w:tcW w:w="1380" w:type="dxa"/>
            <w:vAlign w:val="bottom"/>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4,727</w:t>
            </w:r>
          </w:p>
        </w:tc>
        <w:tc>
          <w:tcPr>
            <w:tcW w:w="80" w:type="dxa"/>
            <w:vAlign w:val="bottom"/>
            <w:shd w:val="clear" w:color="auto" w:fill="EAEBEC"/>
          </w:tcPr>
          <w:p>
            <w:pPr>
              <w:spacing w:after="0"/>
              <w:rPr>
                <w:sz w:val="21"/>
                <w:szCs w:val="21"/>
                <w:color w:val="auto"/>
              </w:rPr>
            </w:pPr>
          </w:p>
        </w:tc>
      </w:tr>
      <w:tr>
        <w:trPr>
          <w:trHeight w:val="244"/>
        </w:trPr>
        <w:tc>
          <w:tcPr>
            <w:tcW w:w="3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Income tax (expense) benefit</w:t>
            </w:r>
          </w:p>
        </w:tc>
        <w:tc>
          <w:tcPr>
            <w:tcW w:w="2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231F20"/>
              </w:rPr>
              <w:t>(6,266)</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7,481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27,613</w:t>
            </w:r>
          </w:p>
        </w:tc>
        <w:tc>
          <w:tcPr>
            <w:tcW w:w="80" w:type="dxa"/>
            <w:vAlign w:val="bottom"/>
          </w:tcPr>
          <w:p>
            <w:pPr>
              <w:spacing w:after="0"/>
              <w:rPr>
                <w:sz w:val="21"/>
                <w:szCs w:val="21"/>
                <w:color w:val="auto"/>
              </w:rPr>
            </w:pPr>
          </w:p>
        </w:tc>
      </w:tr>
      <w:tr>
        <w:trPr>
          <w:trHeight w:val="224"/>
        </w:trPr>
        <w:tc>
          <w:tcPr>
            <w:tcW w:w="3840" w:type="dxa"/>
            <w:vAlign w:val="bottom"/>
            <w:shd w:val="clear" w:color="auto" w:fill="EAEBEC"/>
          </w:tcPr>
          <w:p>
            <w:pPr>
              <w:ind w:left="200"/>
              <w:spacing w:after="0" w:line="225" w:lineRule="exact"/>
              <w:rPr>
                <w:sz w:val="20"/>
                <w:szCs w:val="20"/>
                <w:color w:val="auto"/>
              </w:rPr>
            </w:pPr>
            <w:r>
              <w:rPr>
                <w:rFonts w:ascii="Times New Roman" w:cs="Times New Roman" w:eastAsia="Times New Roman" w:hAnsi="Times New Roman"/>
                <w:sz w:val="20"/>
                <w:szCs w:val="20"/>
                <w:color w:val="231F20"/>
              </w:rPr>
              <w:t>Income from equity method</w:t>
            </w:r>
          </w:p>
        </w:tc>
        <w:tc>
          <w:tcPr>
            <w:tcW w:w="260" w:type="dxa"/>
            <w:vAlign w:val="bottom"/>
            <w:shd w:val="clear" w:color="auto" w:fill="EAEBEC"/>
          </w:tcPr>
          <w:p>
            <w:pPr>
              <w:spacing w:after="0"/>
              <w:rPr>
                <w:sz w:val="19"/>
                <w:szCs w:val="19"/>
                <w:color w:val="auto"/>
              </w:rPr>
            </w:pPr>
          </w:p>
        </w:tc>
        <w:tc>
          <w:tcPr>
            <w:tcW w:w="1380" w:type="dxa"/>
            <w:vAlign w:val="bottom"/>
            <w:shd w:val="clear" w:color="auto" w:fill="EAEBEC"/>
          </w:tcPr>
          <w:p>
            <w:pPr>
              <w:spacing w:after="0"/>
              <w:rPr>
                <w:sz w:val="19"/>
                <w:szCs w:val="19"/>
                <w:color w:val="auto"/>
              </w:rPr>
            </w:pPr>
          </w:p>
        </w:tc>
        <w:tc>
          <w:tcPr>
            <w:tcW w:w="260" w:type="dxa"/>
            <w:vAlign w:val="bottom"/>
            <w:shd w:val="clear" w:color="auto" w:fill="EAEBEC"/>
          </w:tcPr>
          <w:p>
            <w:pPr>
              <w:spacing w:after="0"/>
              <w:rPr>
                <w:sz w:val="19"/>
                <w:szCs w:val="19"/>
                <w:color w:val="auto"/>
              </w:rPr>
            </w:pPr>
          </w:p>
        </w:tc>
        <w:tc>
          <w:tcPr>
            <w:tcW w:w="140" w:type="dxa"/>
            <w:vAlign w:val="bottom"/>
            <w:shd w:val="clear" w:color="auto" w:fill="EAEBEC"/>
          </w:tcPr>
          <w:p>
            <w:pPr>
              <w:spacing w:after="0"/>
              <w:rPr>
                <w:sz w:val="19"/>
                <w:szCs w:val="19"/>
                <w:color w:val="auto"/>
              </w:rPr>
            </w:pPr>
          </w:p>
        </w:tc>
        <w:tc>
          <w:tcPr>
            <w:tcW w:w="1500" w:type="dxa"/>
            <w:vAlign w:val="bottom"/>
            <w:shd w:val="clear" w:color="auto" w:fill="EAEBEC"/>
          </w:tcPr>
          <w:p>
            <w:pPr>
              <w:spacing w:after="0"/>
              <w:rPr>
                <w:sz w:val="19"/>
                <w:szCs w:val="19"/>
                <w:color w:val="auto"/>
              </w:rPr>
            </w:pPr>
          </w:p>
        </w:tc>
        <w:tc>
          <w:tcPr>
            <w:tcW w:w="260" w:type="dxa"/>
            <w:vAlign w:val="bottom"/>
            <w:shd w:val="clear" w:color="auto" w:fill="EAEBEC"/>
          </w:tcPr>
          <w:p>
            <w:pPr>
              <w:spacing w:after="0"/>
              <w:rPr>
                <w:sz w:val="19"/>
                <w:szCs w:val="19"/>
                <w:color w:val="auto"/>
              </w:rPr>
            </w:pPr>
          </w:p>
        </w:tc>
        <w:tc>
          <w:tcPr>
            <w:tcW w:w="260" w:type="dxa"/>
            <w:vAlign w:val="bottom"/>
            <w:shd w:val="clear" w:color="auto" w:fill="EAEBEC"/>
          </w:tcPr>
          <w:p>
            <w:pPr>
              <w:spacing w:after="0"/>
              <w:rPr>
                <w:sz w:val="19"/>
                <w:szCs w:val="19"/>
                <w:color w:val="auto"/>
              </w:rPr>
            </w:pPr>
          </w:p>
        </w:tc>
        <w:tc>
          <w:tcPr>
            <w:tcW w:w="1380" w:type="dxa"/>
            <w:vAlign w:val="bottom"/>
            <w:shd w:val="clear" w:color="auto" w:fill="EAEBEC"/>
          </w:tcPr>
          <w:p>
            <w:pPr>
              <w:spacing w:after="0"/>
              <w:rPr>
                <w:sz w:val="19"/>
                <w:szCs w:val="19"/>
                <w:color w:val="auto"/>
              </w:rPr>
            </w:pPr>
          </w:p>
        </w:tc>
        <w:tc>
          <w:tcPr>
            <w:tcW w:w="80" w:type="dxa"/>
            <w:vAlign w:val="bottom"/>
            <w:shd w:val="clear" w:color="auto" w:fill="EAEBEC"/>
          </w:tcPr>
          <w:p>
            <w:pPr>
              <w:spacing w:after="0"/>
              <w:rPr>
                <w:sz w:val="19"/>
                <w:szCs w:val="19"/>
                <w:color w:val="auto"/>
              </w:rPr>
            </w:pPr>
          </w:p>
        </w:tc>
      </w:tr>
      <w:tr>
        <w:trPr>
          <w:trHeight w:val="269"/>
        </w:trPr>
        <w:tc>
          <w:tcPr>
            <w:tcW w:w="3840" w:type="dxa"/>
            <w:vAlign w:val="bottom"/>
            <w:tcBorders>
              <w:bottom w:val="single" w:sz="8" w:color="EAEBEC"/>
            </w:tcBorders>
            <w:shd w:val="clear" w:color="auto" w:fill="EAEBEC"/>
          </w:tcPr>
          <w:p>
            <w:pPr>
              <w:ind w:left="360"/>
              <w:spacing w:after="0"/>
              <w:rPr>
                <w:sz w:val="20"/>
                <w:szCs w:val="20"/>
                <w:color w:val="auto"/>
              </w:rPr>
            </w:pPr>
            <w:r>
              <w:rPr>
                <w:rFonts w:ascii="Times New Roman" w:cs="Times New Roman" w:eastAsia="Times New Roman" w:hAnsi="Times New Roman"/>
                <w:sz w:val="20"/>
                <w:szCs w:val="20"/>
                <w:color w:val="231F20"/>
              </w:rPr>
              <w:t>investees</w:t>
            </w:r>
          </w:p>
        </w:tc>
        <w:tc>
          <w:tcPr>
            <w:tcW w:w="260" w:type="dxa"/>
            <w:vAlign w:val="bottom"/>
            <w:tcBorders>
              <w:bottom w:val="single" w:sz="8" w:color="231F20"/>
            </w:tcBorders>
            <w:shd w:val="clear" w:color="auto" w:fill="EAEBEC"/>
          </w:tcPr>
          <w:p>
            <w:pPr>
              <w:spacing w:after="0"/>
              <w:rPr>
                <w:sz w:val="23"/>
                <w:szCs w:val="23"/>
                <w:color w:val="auto"/>
              </w:rPr>
            </w:pPr>
          </w:p>
        </w:tc>
        <w:tc>
          <w:tcPr>
            <w:tcW w:w="13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20,358</w:t>
            </w:r>
          </w:p>
        </w:tc>
        <w:tc>
          <w:tcPr>
            <w:tcW w:w="260" w:type="dxa"/>
            <w:vAlign w:val="bottom"/>
            <w:tcBorders>
              <w:bottom w:val="single" w:sz="8" w:color="EAEBEC"/>
            </w:tcBorders>
            <w:shd w:val="clear" w:color="auto" w:fill="EAEBEC"/>
          </w:tcPr>
          <w:p>
            <w:pPr>
              <w:spacing w:after="0"/>
              <w:rPr>
                <w:sz w:val="23"/>
                <w:szCs w:val="23"/>
                <w:color w:val="auto"/>
              </w:rPr>
            </w:pPr>
          </w:p>
        </w:tc>
        <w:tc>
          <w:tcPr>
            <w:tcW w:w="140" w:type="dxa"/>
            <w:vAlign w:val="bottom"/>
            <w:tcBorders>
              <w:bottom w:val="single" w:sz="8" w:color="231F20"/>
            </w:tcBorders>
            <w:shd w:val="clear" w:color="auto" w:fill="EAEBEC"/>
          </w:tcPr>
          <w:p>
            <w:pPr>
              <w:spacing w:after="0"/>
              <w:rPr>
                <w:sz w:val="23"/>
                <w:szCs w:val="23"/>
                <w:color w:val="auto"/>
              </w:rPr>
            </w:pPr>
          </w:p>
        </w:tc>
        <w:tc>
          <w:tcPr>
            <w:tcW w:w="150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18,669</w:t>
            </w:r>
          </w:p>
        </w:tc>
        <w:tc>
          <w:tcPr>
            <w:tcW w:w="260" w:type="dxa"/>
            <w:vAlign w:val="bottom"/>
            <w:tcBorders>
              <w:bottom w:val="single" w:sz="8" w:color="EAEBEC"/>
            </w:tcBorders>
            <w:shd w:val="clear" w:color="auto" w:fill="EAEBEC"/>
          </w:tcPr>
          <w:p>
            <w:pPr>
              <w:spacing w:after="0"/>
              <w:rPr>
                <w:sz w:val="23"/>
                <w:szCs w:val="23"/>
                <w:color w:val="auto"/>
              </w:rPr>
            </w:pPr>
          </w:p>
        </w:tc>
        <w:tc>
          <w:tcPr>
            <w:tcW w:w="260" w:type="dxa"/>
            <w:vAlign w:val="bottom"/>
            <w:tcBorders>
              <w:bottom w:val="single" w:sz="8" w:color="231F20"/>
            </w:tcBorders>
            <w:shd w:val="clear" w:color="auto" w:fill="EAEBEC"/>
          </w:tcPr>
          <w:p>
            <w:pPr>
              <w:spacing w:after="0"/>
              <w:rPr>
                <w:sz w:val="23"/>
                <w:szCs w:val="23"/>
                <w:color w:val="auto"/>
              </w:rPr>
            </w:pPr>
          </w:p>
        </w:tc>
        <w:tc>
          <w:tcPr>
            <w:tcW w:w="1380" w:type="dxa"/>
            <w:vAlign w:val="bottom"/>
            <w:tcBorders>
              <w:bottom w:val="single" w:sz="8" w:color="231F20"/>
            </w:tcBorders>
            <w:shd w:val="clear" w:color="auto" w:fill="EAEBEC"/>
          </w:tcPr>
          <w:p>
            <w:pPr>
              <w:jc w:val="right"/>
              <w:spacing w:after="0"/>
              <w:rPr>
                <w:sz w:val="20"/>
                <w:szCs w:val="20"/>
                <w:color w:val="auto"/>
              </w:rPr>
            </w:pPr>
            <w:r>
              <w:rPr>
                <w:rFonts w:ascii="Times New Roman" w:cs="Times New Roman" w:eastAsia="Times New Roman" w:hAnsi="Times New Roman"/>
                <w:sz w:val="20"/>
                <w:szCs w:val="20"/>
                <w:color w:val="231F20"/>
              </w:rPr>
              <w:t>16,188</w:t>
            </w:r>
          </w:p>
        </w:tc>
        <w:tc>
          <w:tcPr>
            <w:tcW w:w="80" w:type="dxa"/>
            <w:vAlign w:val="bottom"/>
            <w:tcBorders>
              <w:bottom w:val="single" w:sz="8" w:color="EAEBEC"/>
            </w:tcBorders>
            <w:shd w:val="clear" w:color="auto" w:fill="EAEBEC"/>
          </w:tcPr>
          <w:p>
            <w:pPr>
              <w:spacing w:after="0"/>
              <w:rPr>
                <w:sz w:val="23"/>
                <w:szCs w:val="23"/>
                <w:color w:val="auto"/>
              </w:rPr>
            </w:pPr>
          </w:p>
        </w:tc>
      </w:tr>
      <w:tr>
        <w:trPr>
          <w:trHeight w:val="219"/>
        </w:trPr>
        <w:tc>
          <w:tcPr>
            <w:tcW w:w="38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Consolidated net income (loss)</w:t>
            </w:r>
          </w:p>
        </w:tc>
        <w:tc>
          <w:tcPr>
            <w:tcW w:w="260" w:type="dxa"/>
            <w:vAlign w:val="bottom"/>
            <w:tcBorders>
              <w:bottom w:val="single" w:sz="8" w:color="231F20"/>
            </w:tcBorders>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3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9,066</w:t>
            </w:r>
          </w:p>
        </w:tc>
        <w:tc>
          <w:tcPr>
            <w:tcW w:w="260" w:type="dxa"/>
            <w:vAlign w:val="bottom"/>
          </w:tcPr>
          <w:p>
            <w:pPr>
              <w:spacing w:after="0"/>
              <w:rPr>
                <w:sz w:val="19"/>
                <w:szCs w:val="19"/>
                <w:color w:val="auto"/>
              </w:rPr>
            </w:pPr>
          </w:p>
        </w:tc>
        <w:tc>
          <w:tcPr>
            <w:tcW w:w="14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50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(101,816)</w:t>
            </w:r>
          </w:p>
        </w:tc>
        <w:tc>
          <w:tcPr>
            <w:tcW w:w="260" w:type="dxa"/>
            <w:vAlign w:val="bottom"/>
          </w:tcPr>
          <w:p>
            <w:pPr>
              <w:spacing w:after="0"/>
              <w:rPr>
                <w:sz w:val="19"/>
                <w:szCs w:val="19"/>
                <w:color w:val="auto"/>
              </w:rPr>
            </w:pPr>
          </w:p>
        </w:tc>
        <w:tc>
          <w:tcPr>
            <w:tcW w:w="260" w:type="dxa"/>
            <w:vAlign w:val="bottom"/>
            <w:tcBorders>
              <w:bottom w:val="single" w:sz="8" w:color="231F20"/>
            </w:tcBorders>
          </w:tcPr>
          <w:p>
            <w:pPr>
              <w:jc w:val="right"/>
              <w:ind w:right="6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380" w:type="dxa"/>
            <w:vAlign w:val="bottom"/>
            <w:tcBorders>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(1,280,210)</w:t>
            </w:r>
          </w:p>
        </w:tc>
        <w:tc>
          <w:tcPr>
            <w:tcW w:w="80" w:type="dxa"/>
            <w:vAlign w:val="bottom"/>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50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3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2421890</wp:posOffset>
            </wp:positionH>
            <wp:positionV relativeFrom="paragraph">
              <wp:posOffset>-3338195</wp:posOffset>
            </wp:positionV>
            <wp:extent cx="348742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1">
                      <a:extLst>
                        <a:ext uri="{28A0092B-C50C-407E-A947-70E740481C1C}"/>
                      </a:extLst>
                    </a:blip>
                    <a:srcRect/>
                    <a:stretch>
                      <a:fillRect/>
                    </a:stretch>
                  </pic:blipFill>
                  <pic:spPr bwMode="auto">
                    <a:xfrm>
                      <a:off x="0" y="0"/>
                      <a:ext cx="3487420" cy="38100"/>
                    </a:xfrm>
                    <a:prstGeom prst="rect">
                      <a:avLst/>
                    </a:prstGeom>
                    <a:noFill/>
                  </pic:spPr>
                </pic:pic>
              </a:graphicData>
            </a:graphic>
          </wp:anchor>
        </w:drawing>
      </w:r>
    </w:p>
    <w:p>
      <w:pPr>
        <w:spacing w:after="0" w:line="80" w:lineRule="exact"/>
        <w:rPr>
          <w:sz w:val="20"/>
          <w:szCs w:val="20"/>
          <w:color w:val="auto"/>
        </w:rPr>
      </w:pPr>
    </w:p>
    <w:p>
      <w:pPr>
        <w:ind w:left="980" w:right="540" w:hanging="490"/>
        <w:spacing w:after="0" w:line="260" w:lineRule="auto"/>
        <w:tabs>
          <w:tab w:leader="none" w:pos="980" w:val="left"/>
        </w:tabs>
        <w:numPr>
          <w:ilvl w:val="0"/>
          <w:numId w:val="3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Other general &amp; administrative expenses include pet care center expenses, support center labor and occupancy costs, legal, accounting, information technology, and consulting costs, and depreciation and amortization.</w:t>
      </w:r>
    </w:p>
    <w:p>
      <w:pPr>
        <w:sectPr>
          <w:pgSz w:w="11880" w:h="15480" w:orient="portrait"/>
          <w:cols w:equalWidth="0" w:num="1">
            <w:col w:w="9360"/>
          </w:cols>
          <w:pgMar w:left="1260" w:top="125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97</w:t>
      </w:r>
    </w:p>
    <w:p>
      <w:pPr>
        <w:sectPr>
          <w:pgSz w:w="11880" w:h="15480" w:orient="portrait"/>
          <w:cols w:equalWidth="0" w:num="1">
            <w:col w:w="9360"/>
          </w:cols>
          <w:pgMar w:left="1260" w:top="1254" w:right="126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12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b w:val="1"/>
          <w:bCs w:val="1"/>
          <w:color w:val="231F20"/>
        </w:rPr>
        <w:t>Management’s Evaluation of Disclosure Controls and Procedures</w:t>
      </w:r>
    </w:p>
    <w:p>
      <w:pPr>
        <w:spacing w:after="0" w:line="244"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231F20"/>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97"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31F20"/>
        </w:rPr>
        <w:t>As of the end of the period covered by this Annual Report on Form 10-K,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January 31, 2026.</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Management’s Annual Report on Internal Control Over Financial Reporting</w:t>
      </w:r>
    </w:p>
    <w:p>
      <w:pPr>
        <w:spacing w:after="0" w:line="24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31F20"/>
        </w:rPr>
        <w:t>Management is responsible for establishing and maintaining adequate internal control over financial reporting, as defined in Rule 13a-15(f) of the Exchange Act. Management has assessed the effectiveness of our internal control over financial reporting as of January 31, 2026 based on criteria established in Internal Control — Integrated Framework (2013) issued by the Committee of Sponsoring Organizations of the Treadway Commission. As a result of this assessment, management concluded that, as of January 31, 2026, we maintained effective internal control over financial reporting.</w:t>
      </w:r>
    </w:p>
    <w:p>
      <w:pPr>
        <w:spacing w:after="0" w:line="200" w:lineRule="exact"/>
        <w:rPr>
          <w:sz w:val="20"/>
          <w:szCs w:val="20"/>
          <w:color w:val="auto"/>
        </w:rPr>
      </w:pPr>
    </w:p>
    <w:p>
      <w:pPr>
        <w:jc w:val="both"/>
        <w:ind w:right="200" w:firstLine="490"/>
        <w:spacing w:after="0" w:line="258" w:lineRule="auto"/>
        <w:rPr>
          <w:sz w:val="20"/>
          <w:szCs w:val="20"/>
          <w:color w:val="auto"/>
        </w:rPr>
      </w:pPr>
      <w:r>
        <w:rPr>
          <w:rFonts w:ascii="Times New Roman" w:cs="Times New Roman" w:eastAsia="Times New Roman" w:hAnsi="Times New Roman"/>
          <w:sz w:val="20"/>
          <w:szCs w:val="20"/>
          <w:color w:val="231F20"/>
        </w:rPr>
        <w:t>The effectiveness of our internal control over financial reporting as of January 31, 2026 has been audited by Ernst &amp; Young LLP, an independent registered public accounting firm, as stated in their report that appears under Part II, Item 8 of this Annual Report on Form 10-K.</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Changes in Internal Control over Financial Reporting</w:t>
      </w:r>
    </w:p>
    <w:p>
      <w:pPr>
        <w:spacing w:after="0" w:line="244"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31F20"/>
        </w:rPr>
        <w:t>There was no change in our internal control over financial reporting that occurred during the quarter ended January 31, 2026, which has materially affected, or is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31F20"/>
        </w:rPr>
        <w:t>Limitations on the Effectiveness of Controls</w:t>
      </w:r>
    </w:p>
    <w:p>
      <w:pPr>
        <w:spacing w:after="0" w:line="244" w:lineRule="exact"/>
        <w:rPr>
          <w:sz w:val="20"/>
          <w:szCs w:val="20"/>
          <w:color w:val="auto"/>
        </w:rPr>
      </w:pPr>
    </w:p>
    <w:p>
      <w:pPr>
        <w:ind w:right="80" w:firstLine="450"/>
        <w:spacing w:after="0" w:line="246" w:lineRule="auto"/>
        <w:rPr>
          <w:sz w:val="20"/>
          <w:szCs w:val="20"/>
          <w:color w:val="auto"/>
        </w:rPr>
      </w:pPr>
      <w:r>
        <w:rPr>
          <w:rFonts w:ascii="Times New Roman" w:cs="Times New Roman" w:eastAsia="Times New Roman" w:hAnsi="Times New Roman"/>
          <w:sz w:val="20"/>
          <w:szCs w:val="20"/>
          <w:color w:val="231F20"/>
        </w:rPr>
        <w:t>Our disclosure controls and procedures and internal control over financial reporting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244"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231F20"/>
        </w:rPr>
        <w:t>On November 28, 2025, our Chief Financial Officer, Sabrina Simmons, adopted a Rule 10b5-1 trading arrangement providing for the potential sale of up to 957,398 shares of Class A common stock through November 2026, subject to specified price conditions.</w:t>
      </w:r>
    </w:p>
    <w:p>
      <w:pPr>
        <w:sectPr>
          <w:pgSz w:w="11880" w:h="15480" w:orient="portrait"/>
          <w:cols w:equalWidth="0" w:num="1">
            <w:col w:w="9340"/>
          </w:cols>
          <w:pgMar w:left="1260" w:top="1236"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98</w:t>
      </w:r>
    </w:p>
    <w:p>
      <w:pPr>
        <w:sectPr>
          <w:pgSz w:w="11880" w:h="15480" w:orient="portrait"/>
          <w:cols w:equalWidth="0" w:num="1">
            <w:col w:w="9340"/>
          </w:cols>
          <w:pgMar w:left="1260" w:top="1236" w:right="1280" w:bottom="0" w:gutter="0" w:footer="0" w:header="0"/>
          <w:type w:val="continuous"/>
        </w:sectPr>
      </w:pPr>
    </w:p>
    <w:bookmarkStart w:id="108" w:name="page109"/>
    <w:bookmarkEnd w:id="108"/>
    <w:p>
      <w:pPr>
        <w:jc w:val="both"/>
        <w:ind w:firstLine="490"/>
        <w:spacing w:after="0" w:line="258" w:lineRule="auto"/>
        <w:rPr>
          <w:sz w:val="20"/>
          <w:szCs w:val="20"/>
          <w:color w:val="auto"/>
        </w:rPr>
      </w:pPr>
      <w:r>
        <w:rPr>
          <w:rFonts w:ascii="Times New Roman" w:cs="Times New Roman" w:eastAsia="Times New Roman" w:hAnsi="Times New Roman"/>
          <w:sz w:val="20"/>
          <w:szCs w:val="20"/>
          <w:color w:val="231F20"/>
        </w:rPr>
        <w:t>No other director or executive officer adopted, modified, or terminated any Rule 10b5-1 or non-Rule 10b5-1 trading arrangements (as such terms are defined in Item 408 of Regulation S-K) during the quarter ended January 31, 2026.</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9180"/>
          </w:cols>
          <w:pgMar w:left="1260" w:top="12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231F20"/>
        </w:rPr>
        <w:t>99</w:t>
      </w:r>
    </w:p>
    <w:p>
      <w:pPr>
        <w:sectPr>
          <w:pgSz w:w="11880" w:h="15480" w:orient="portrait"/>
          <w:cols w:equalWidth="0" w:num="1">
            <w:col w:w="9180"/>
          </w:cols>
          <w:pgMar w:left="1260" w:top="1240" w:right="1440" w:bottom="0" w:gutter="0" w:footer="0" w:header="0"/>
          <w:type w:val="continuous"/>
        </w:sectPr>
      </w:pPr>
    </w:p>
    <w:bookmarkStart w:id="109" w:name="page110"/>
    <w:bookmarkEnd w:id="109"/>
    <w:p>
      <w:pPr>
        <w:jc w:val="center"/>
        <w:ind w:right="-59"/>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24" w:lineRule="exact"/>
        <w:rPr>
          <w:sz w:val="20"/>
          <w:szCs w:val="20"/>
          <w:color w:val="auto"/>
        </w:rPr>
      </w:pPr>
    </w:p>
    <w:p>
      <w:pPr>
        <w:ind w:firstLine="555"/>
        <w:spacing w:after="0" w:line="258" w:lineRule="auto"/>
        <w:rPr>
          <w:sz w:val="20"/>
          <w:szCs w:val="20"/>
          <w:color w:val="auto"/>
        </w:rPr>
      </w:pPr>
      <w:r>
        <w:rPr>
          <w:rFonts w:ascii="Times New Roman" w:cs="Times New Roman" w:eastAsia="Times New Roman" w:hAnsi="Times New Roman"/>
          <w:sz w:val="20"/>
          <w:szCs w:val="20"/>
          <w:color w:val="231F20"/>
        </w:rPr>
        <w:t>Information responsive to this Item is incorporated herein by reference to our definitive proxy statement with respect to our 2026 annual meeting of stockholders to be filed with the SEC within 120 days after the end of our fiscal year covered by this Annual Report on Form 10-K (the “2026 Proxy Statement”).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31F20"/>
        </w:rPr>
        <w:t>Information responsive to this Item is incorporated herein by reference to the 2026 Proxy Statement.</w:t>
      </w:r>
    </w:p>
    <w:p>
      <w:pPr>
        <w:spacing w:after="0" w:line="35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231F20"/>
        </w:rPr>
        <w:t>Information responsive to this Item is incorporated herein by reference to the 2026 Proxy Statement.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r>
        <w:rPr>
          <w:rFonts w:ascii="Times New Roman" w:cs="Times New Roman" w:eastAsia="Times New Roman" w:hAnsi="Times New Roman"/>
          <w:sz w:val="20"/>
          <w:szCs w:val="20"/>
          <w:color w:val="231F20"/>
        </w:rPr>
        <w:t>.</w:t>
      </w:r>
    </w:p>
    <w:p>
      <w:pPr>
        <w:spacing w:after="0" w:line="3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231F20"/>
        </w:rPr>
        <w:t>Information responsive to this Item is incorporated herein by reference to the 2026 Proxy Statement.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Accountant Fees and Services.</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231F20"/>
        </w:rPr>
        <w:t>Information responsive to this Item is incorporated herein by reference to the 2026 Proxy Statement.</w:t>
      </w:r>
    </w:p>
    <w:p>
      <w:pPr>
        <w:sectPr>
          <w:pgSz w:w="11880" w:h="15480" w:orient="portrait"/>
          <w:cols w:equalWidth="0" w:num="1">
            <w:col w:w="9300"/>
          </w:cols>
          <w:pgMar w:left="1260" w:top="1236"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231F20"/>
        </w:rPr>
        <w:t>100</w:t>
      </w:r>
    </w:p>
    <w:p>
      <w:pPr>
        <w:sectPr>
          <w:pgSz w:w="11880" w:h="15480" w:orient="portrait"/>
          <w:cols w:equalWidth="0" w:num="1">
            <w:col w:w="9300"/>
          </w:cols>
          <w:pgMar w:left="1260" w:top="1236" w:right="1320" w:bottom="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15. Exhibits, Financial Statement Schedules.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 Financial Statements</w:t>
      </w:r>
    </w:p>
    <w:p>
      <w:pPr>
        <w:spacing w:after="0" w:line="124" w:lineRule="exact"/>
        <w:rPr>
          <w:sz w:val="20"/>
          <w:szCs w:val="20"/>
          <w:color w:val="auto"/>
        </w:rPr>
      </w:pPr>
    </w:p>
    <w:p>
      <w:pPr>
        <w:ind w:right="980" w:firstLine="490"/>
        <w:spacing w:after="0" w:line="277" w:lineRule="auto"/>
        <w:rPr>
          <w:sz w:val="20"/>
          <w:szCs w:val="20"/>
          <w:color w:val="auto"/>
        </w:rPr>
      </w:pPr>
      <w:r>
        <w:rPr>
          <w:rFonts w:ascii="Times New Roman" w:cs="Times New Roman" w:eastAsia="Times New Roman" w:hAnsi="Times New Roman"/>
          <w:sz w:val="20"/>
          <w:szCs w:val="20"/>
          <w:color w:val="231F20"/>
        </w:rPr>
        <w:t>As part of this Annual Report on Form 10-K, the consolidated financial statements are listed in the accompanying index to financial statements on page 62.</w:t>
      </w:r>
    </w:p>
    <w:p>
      <w:pPr>
        <w:spacing w:after="0" w:line="285" w:lineRule="exact"/>
        <w:rPr>
          <w:sz w:val="20"/>
          <w:szCs w:val="20"/>
          <w:color w:val="auto"/>
        </w:rPr>
      </w:pPr>
    </w:p>
    <w:p>
      <w:pPr>
        <w:ind w:left="500" w:right="6540" w:hanging="500"/>
        <w:spacing w:after="0" w:line="407" w:lineRule="auto"/>
        <w:tabs>
          <w:tab w:leader="none" w:pos="210" w:val="left"/>
        </w:tabs>
        <w:numPr>
          <w:ilvl w:val="0"/>
          <w:numId w:val="4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 xml:space="preserve">Financial Statement Schedules </w:t>
      </w:r>
      <w:r>
        <w:rPr>
          <w:rFonts w:ascii="Times New Roman" w:cs="Times New Roman" w:eastAsia="Times New Roman" w:hAnsi="Times New Roman"/>
          <w:sz w:val="20"/>
          <w:szCs w:val="20"/>
          <w:color w:val="231F20"/>
        </w:rPr>
        <w:t>Not applicable.</w:t>
      </w:r>
    </w:p>
    <w:p>
      <w:pPr>
        <w:spacing w:after="0" w:line="159" w:lineRule="exact"/>
        <w:rPr>
          <w:rFonts w:ascii="Times New Roman" w:cs="Times New Roman" w:eastAsia="Times New Roman" w:hAnsi="Times New Roman"/>
          <w:sz w:val="20"/>
          <w:szCs w:val="20"/>
          <w:b w:val="1"/>
          <w:bCs w:val="1"/>
          <w:color w:val="231F20"/>
        </w:rPr>
      </w:pPr>
    </w:p>
    <w:p>
      <w:pPr>
        <w:ind w:left="200" w:hanging="200"/>
        <w:spacing w:after="0"/>
        <w:tabs>
          <w:tab w:leader="none" w:pos="200" w:val="left"/>
        </w:tabs>
        <w:numPr>
          <w:ilvl w:val="0"/>
          <w:numId w:val="40"/>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Exhibit Index</w:t>
      </w:r>
    </w:p>
    <w:p>
      <w:pPr>
        <w:spacing w:after="0" w:line="124"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231F20"/>
        </w:rPr>
        <w:t>The following is a list of exhibits filed as part of this Annual Report on Form 10-K or are incorporated herein by reference: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8"/>
              </w:rPr>
              <w:t>Exhibit</w:t>
            </w:r>
          </w:p>
        </w:tc>
        <w:tc>
          <w:tcPr>
            <w:tcW w:w="8420" w:type="dxa"/>
            <w:vAlign w:val="bottom"/>
          </w:tcPr>
          <w:p>
            <w:pPr>
              <w:spacing w:after="0"/>
              <w:rPr>
                <w:sz w:val="16"/>
                <w:szCs w:val="16"/>
                <w:color w:val="auto"/>
              </w:rPr>
            </w:pPr>
          </w:p>
        </w:tc>
      </w:tr>
      <w:tr>
        <w:trPr>
          <w:trHeight w:val="203"/>
        </w:trPr>
        <w:tc>
          <w:tcPr>
            <w:tcW w:w="94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rPr>
              <w:t>Number</w:t>
            </w:r>
          </w:p>
        </w:tc>
        <w:tc>
          <w:tcPr>
            <w:tcW w:w="8420" w:type="dxa"/>
            <w:vAlign w:val="bottom"/>
            <w:tcBorders>
              <w:bottom w:val="single" w:sz="8" w:color="231F20"/>
            </w:tcBorders>
          </w:tcPr>
          <w:p>
            <w:pPr>
              <w:ind w:left="3900"/>
              <w:spacing w:after="0"/>
              <w:rPr>
                <w:sz w:val="20"/>
                <w:szCs w:val="20"/>
                <w:color w:val="auto"/>
              </w:rPr>
            </w:pPr>
            <w:r>
              <w:rPr>
                <w:rFonts w:ascii="Times New Roman" w:cs="Times New Roman" w:eastAsia="Times New Roman" w:hAnsi="Times New Roman"/>
                <w:sz w:val="16"/>
                <w:szCs w:val="16"/>
                <w:b w:val="1"/>
                <w:bCs w:val="1"/>
                <w:color w:val="231F20"/>
              </w:rPr>
              <w:t>Description</w:t>
            </w:r>
          </w:p>
        </w:tc>
      </w:tr>
      <w:tr>
        <w:trPr>
          <w:trHeight w:val="430"/>
        </w:trPr>
        <w:tc>
          <w:tcPr>
            <w:tcW w:w="940" w:type="dxa"/>
            <w:vAlign w:val="bottom"/>
          </w:tcPr>
          <w:p>
            <w:pPr>
              <w:jc w:val="center"/>
              <w:ind w:right="183"/>
              <w:spacing w:after="0"/>
              <w:rPr>
                <w:sz w:val="20"/>
                <w:szCs w:val="20"/>
                <w:color w:val="auto"/>
              </w:rPr>
            </w:pPr>
            <w:r>
              <w:rPr>
                <w:rFonts w:ascii="Times New Roman" w:cs="Times New Roman" w:eastAsia="Times New Roman" w:hAnsi="Times New Roman"/>
                <w:sz w:val="20"/>
                <w:szCs w:val="20"/>
                <w:color w:val="231F20"/>
              </w:rPr>
              <w:t>3.1</w:t>
            </w: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Second Amended and Restated Certificate of Incorporation of Petco Health and Wellness Company,</w:t>
            </w:r>
          </w:p>
        </w:tc>
      </w:tr>
      <w:tr>
        <w:trPr>
          <w:trHeight w:val="230"/>
        </w:trPr>
        <w:tc>
          <w:tcPr>
            <w:tcW w:w="940" w:type="dxa"/>
            <w:vAlign w:val="bottom"/>
          </w:tcPr>
          <w:p>
            <w:pPr>
              <w:spacing w:after="0"/>
              <w:rPr>
                <w:sz w:val="20"/>
                <w:szCs w:val="20"/>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Inc. (incorporated by reference to Exhibit 3.1 of the Company’s Current Report on Form 8-K, filed on</w:t>
            </w:r>
          </w:p>
        </w:tc>
      </w:tr>
      <w:tr>
        <w:trPr>
          <w:trHeight w:val="266"/>
        </w:trPr>
        <w:tc>
          <w:tcPr>
            <w:tcW w:w="940" w:type="dxa"/>
            <w:vAlign w:val="bottom"/>
          </w:tcPr>
          <w:p>
            <w:pPr>
              <w:spacing w:after="0"/>
              <w:rPr>
                <w:sz w:val="23"/>
                <w:szCs w:val="23"/>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January 19, 2021)</w:t>
            </w:r>
          </w:p>
        </w:tc>
      </w:tr>
      <w:tr>
        <w:trPr>
          <w:trHeight w:val="424"/>
        </w:trPr>
        <w:tc>
          <w:tcPr>
            <w:tcW w:w="940" w:type="dxa"/>
            <w:vAlign w:val="bottom"/>
          </w:tcPr>
          <w:p>
            <w:pPr>
              <w:jc w:val="center"/>
              <w:ind w:right="183"/>
              <w:spacing w:after="0"/>
              <w:rPr>
                <w:sz w:val="20"/>
                <w:szCs w:val="20"/>
                <w:color w:val="auto"/>
              </w:rPr>
            </w:pPr>
            <w:r>
              <w:rPr>
                <w:rFonts w:ascii="Times New Roman" w:cs="Times New Roman" w:eastAsia="Times New Roman" w:hAnsi="Times New Roman"/>
                <w:sz w:val="20"/>
                <w:szCs w:val="20"/>
                <w:color w:val="231F20"/>
              </w:rPr>
              <w:t>3.2</w:t>
            </w: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Certificate of Amendment to the Second Amended and Restated Certificate of Incorporation of Petco</w:t>
            </w:r>
          </w:p>
        </w:tc>
      </w:tr>
      <w:tr>
        <w:trPr>
          <w:trHeight w:val="230"/>
        </w:trPr>
        <w:tc>
          <w:tcPr>
            <w:tcW w:w="940" w:type="dxa"/>
            <w:vAlign w:val="bottom"/>
          </w:tcPr>
          <w:p>
            <w:pPr>
              <w:spacing w:after="0"/>
              <w:rPr>
                <w:sz w:val="20"/>
                <w:szCs w:val="20"/>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Health and Wellness Company, Inc. (incorporated by reference to Exhibit 3.1 of the Company's</w:t>
            </w:r>
          </w:p>
        </w:tc>
      </w:tr>
      <w:tr>
        <w:trPr>
          <w:trHeight w:val="266"/>
        </w:trPr>
        <w:tc>
          <w:tcPr>
            <w:tcW w:w="940" w:type="dxa"/>
            <w:vAlign w:val="bottom"/>
          </w:tcPr>
          <w:p>
            <w:pPr>
              <w:spacing w:after="0"/>
              <w:rPr>
                <w:sz w:val="23"/>
                <w:szCs w:val="23"/>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Current Report on Form 8-K, filed on June 23, 2023)</w:t>
            </w:r>
          </w:p>
        </w:tc>
      </w:tr>
      <w:tr>
        <w:trPr>
          <w:trHeight w:val="332"/>
        </w:trPr>
        <w:tc>
          <w:tcPr>
            <w:tcW w:w="940" w:type="dxa"/>
            <w:vAlign w:val="bottom"/>
          </w:tcPr>
          <w:p>
            <w:pPr>
              <w:jc w:val="center"/>
              <w:ind w:right="183"/>
              <w:spacing w:after="0"/>
              <w:rPr>
                <w:sz w:val="20"/>
                <w:szCs w:val="20"/>
                <w:color w:val="auto"/>
              </w:rPr>
            </w:pPr>
            <w:r>
              <w:rPr>
                <w:rFonts w:ascii="Times New Roman" w:cs="Times New Roman" w:eastAsia="Times New Roman" w:hAnsi="Times New Roman"/>
                <w:sz w:val="20"/>
                <w:szCs w:val="20"/>
                <w:color w:val="231F20"/>
              </w:rPr>
              <w:t>3.3</w:t>
            </w: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Third Amended and Restated Bylaws of Petco Health and Wellness Company, Inc. (incorporated by</w:t>
            </w:r>
          </w:p>
        </w:tc>
      </w:tr>
      <w:tr>
        <w:trPr>
          <w:trHeight w:val="230"/>
        </w:trPr>
        <w:tc>
          <w:tcPr>
            <w:tcW w:w="940" w:type="dxa"/>
            <w:vAlign w:val="bottom"/>
          </w:tcPr>
          <w:p>
            <w:pPr>
              <w:spacing w:after="0"/>
              <w:rPr>
                <w:sz w:val="20"/>
                <w:szCs w:val="20"/>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reference to Exhibit 3.1 of the Company’s Quarterly Report on Form 10-Q for the quarter ended</w:t>
            </w:r>
          </w:p>
        </w:tc>
      </w:tr>
      <w:tr>
        <w:trPr>
          <w:trHeight w:val="266"/>
        </w:trPr>
        <w:tc>
          <w:tcPr>
            <w:tcW w:w="940" w:type="dxa"/>
            <w:vAlign w:val="bottom"/>
          </w:tcPr>
          <w:p>
            <w:pPr>
              <w:spacing w:after="0"/>
              <w:rPr>
                <w:sz w:val="23"/>
                <w:szCs w:val="23"/>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November 1, 2025)</w:t>
            </w:r>
          </w:p>
        </w:tc>
      </w:tr>
      <w:tr>
        <w:trPr>
          <w:trHeight w:val="332"/>
        </w:trPr>
        <w:tc>
          <w:tcPr>
            <w:tcW w:w="940" w:type="dxa"/>
            <w:vAlign w:val="bottom"/>
          </w:tcPr>
          <w:p>
            <w:pPr>
              <w:jc w:val="center"/>
              <w:ind w:right="183"/>
              <w:spacing w:after="0"/>
              <w:rPr>
                <w:sz w:val="20"/>
                <w:szCs w:val="20"/>
                <w:color w:val="auto"/>
              </w:rPr>
            </w:pPr>
            <w:r>
              <w:rPr>
                <w:rFonts w:ascii="Times New Roman" w:cs="Times New Roman" w:eastAsia="Times New Roman" w:hAnsi="Times New Roman"/>
                <w:sz w:val="20"/>
                <w:szCs w:val="20"/>
                <w:color w:val="231F20"/>
              </w:rPr>
              <w:t>4.1</w:t>
            </w: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Registration Rights Agreement, dated as of January 19, 2021, by and between Petco Health and</w:t>
            </w:r>
          </w:p>
        </w:tc>
      </w:tr>
      <w:tr>
        <w:trPr>
          <w:trHeight w:val="230"/>
        </w:trPr>
        <w:tc>
          <w:tcPr>
            <w:tcW w:w="940" w:type="dxa"/>
            <w:vAlign w:val="bottom"/>
          </w:tcPr>
          <w:p>
            <w:pPr>
              <w:spacing w:after="0"/>
              <w:rPr>
                <w:sz w:val="20"/>
                <w:szCs w:val="20"/>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Wellness Company, Inc. and Scooby Aggregator, LP (incorporated by reference to Exhibit 4.1 of the</w:t>
            </w:r>
          </w:p>
        </w:tc>
      </w:tr>
      <w:tr>
        <w:trPr>
          <w:trHeight w:val="266"/>
        </w:trPr>
        <w:tc>
          <w:tcPr>
            <w:tcW w:w="940" w:type="dxa"/>
            <w:vAlign w:val="bottom"/>
          </w:tcPr>
          <w:p>
            <w:pPr>
              <w:spacing w:after="0"/>
              <w:rPr>
                <w:sz w:val="23"/>
                <w:szCs w:val="23"/>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Company’s Current Report on Form 8-K, filed on January 19, 2021)</w:t>
            </w:r>
          </w:p>
        </w:tc>
      </w:tr>
      <w:tr>
        <w:trPr>
          <w:trHeight w:val="332"/>
        </w:trPr>
        <w:tc>
          <w:tcPr>
            <w:tcW w:w="940" w:type="dxa"/>
            <w:vAlign w:val="bottom"/>
          </w:tcPr>
          <w:p>
            <w:pPr>
              <w:jc w:val="center"/>
              <w:ind w:right="183"/>
              <w:spacing w:after="0"/>
              <w:rPr>
                <w:sz w:val="20"/>
                <w:szCs w:val="20"/>
                <w:color w:val="auto"/>
              </w:rPr>
            </w:pPr>
            <w:r>
              <w:rPr>
                <w:rFonts w:ascii="Times New Roman" w:cs="Times New Roman" w:eastAsia="Times New Roman" w:hAnsi="Times New Roman"/>
                <w:sz w:val="20"/>
                <w:szCs w:val="20"/>
                <w:color w:val="231F20"/>
              </w:rPr>
              <w:t>4.2</w:t>
            </w: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Stockholder’s Agreement, dated as of January 19, 2021, by and between Petco Health and Wellness</w:t>
            </w:r>
          </w:p>
        </w:tc>
      </w:tr>
      <w:tr>
        <w:trPr>
          <w:trHeight w:val="230"/>
        </w:trPr>
        <w:tc>
          <w:tcPr>
            <w:tcW w:w="940" w:type="dxa"/>
            <w:vAlign w:val="bottom"/>
          </w:tcPr>
          <w:p>
            <w:pPr>
              <w:spacing w:after="0"/>
              <w:rPr>
                <w:sz w:val="20"/>
                <w:szCs w:val="20"/>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Company, Inc. and Scooby Aggregator, LP (incorporated by reference to Exhibit 4.2 of the</w:t>
            </w:r>
          </w:p>
        </w:tc>
      </w:tr>
      <w:tr>
        <w:trPr>
          <w:trHeight w:val="266"/>
        </w:trPr>
        <w:tc>
          <w:tcPr>
            <w:tcW w:w="940" w:type="dxa"/>
            <w:vAlign w:val="bottom"/>
          </w:tcPr>
          <w:p>
            <w:pPr>
              <w:spacing w:after="0"/>
              <w:rPr>
                <w:sz w:val="23"/>
                <w:szCs w:val="23"/>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Company’s Current Report on Form 8-K, filed on January 19, 2021)</w:t>
            </w:r>
          </w:p>
        </w:tc>
      </w:tr>
      <w:tr>
        <w:trPr>
          <w:trHeight w:val="332"/>
        </w:trPr>
        <w:tc>
          <w:tcPr>
            <w:tcW w:w="940" w:type="dxa"/>
            <w:vAlign w:val="bottom"/>
          </w:tcPr>
          <w:p>
            <w:pPr>
              <w:jc w:val="center"/>
              <w:ind w:right="183"/>
              <w:spacing w:after="0"/>
              <w:rPr>
                <w:sz w:val="20"/>
                <w:szCs w:val="20"/>
                <w:color w:val="auto"/>
              </w:rPr>
            </w:pPr>
            <w:r>
              <w:rPr>
                <w:rFonts w:ascii="Times New Roman" w:cs="Times New Roman" w:eastAsia="Times New Roman" w:hAnsi="Times New Roman"/>
                <w:sz w:val="20"/>
                <w:szCs w:val="20"/>
                <w:color w:val="231F20"/>
              </w:rPr>
              <w:t>4.3</w:t>
            </w: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Description of Securities registered pursuant to Section 12 of the Exchange Act (incorporated by</w:t>
            </w:r>
          </w:p>
        </w:tc>
      </w:tr>
      <w:tr>
        <w:trPr>
          <w:trHeight w:val="230"/>
        </w:trPr>
        <w:tc>
          <w:tcPr>
            <w:tcW w:w="940" w:type="dxa"/>
            <w:vAlign w:val="bottom"/>
          </w:tcPr>
          <w:p>
            <w:pPr>
              <w:spacing w:after="0"/>
              <w:rPr>
                <w:sz w:val="20"/>
                <w:szCs w:val="20"/>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reference to Exhibit 4.3 of the Company’s Annual Report on Form 10-K for the fiscal year ended</w:t>
            </w:r>
          </w:p>
        </w:tc>
      </w:tr>
      <w:tr>
        <w:trPr>
          <w:trHeight w:val="266"/>
        </w:trPr>
        <w:tc>
          <w:tcPr>
            <w:tcW w:w="940" w:type="dxa"/>
            <w:vAlign w:val="bottom"/>
          </w:tcPr>
          <w:p>
            <w:pPr>
              <w:spacing w:after="0"/>
              <w:rPr>
                <w:sz w:val="23"/>
                <w:szCs w:val="23"/>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January 31, 2021)</w:t>
            </w:r>
          </w:p>
        </w:tc>
      </w:tr>
      <w:tr>
        <w:trPr>
          <w:trHeight w:val="331"/>
        </w:trPr>
        <w:tc>
          <w:tcPr>
            <w:tcW w:w="940" w:type="dxa"/>
            <w:vAlign w:val="bottom"/>
          </w:tcPr>
          <w:p>
            <w:pPr>
              <w:jc w:val="center"/>
              <w:ind w:right="183"/>
              <w:spacing w:after="0"/>
              <w:rPr>
                <w:sz w:val="20"/>
                <w:szCs w:val="20"/>
                <w:color w:val="auto"/>
              </w:rPr>
            </w:pPr>
            <w:r>
              <w:rPr>
                <w:rFonts w:ascii="Times New Roman" w:cs="Times New Roman" w:eastAsia="Times New Roman" w:hAnsi="Times New Roman"/>
                <w:sz w:val="20"/>
                <w:szCs w:val="20"/>
                <w:color w:val="231F20"/>
              </w:rPr>
              <w:t>4.4</w:t>
            </w: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Indenture, dated February 2, 2026, among the Company, the guarantors party thereto, and U.S. Bank</w:t>
            </w:r>
          </w:p>
        </w:tc>
      </w:tr>
      <w:tr>
        <w:trPr>
          <w:trHeight w:val="230"/>
        </w:trPr>
        <w:tc>
          <w:tcPr>
            <w:tcW w:w="940" w:type="dxa"/>
            <w:vAlign w:val="bottom"/>
          </w:tcPr>
          <w:p>
            <w:pPr>
              <w:spacing w:after="0"/>
              <w:rPr>
                <w:sz w:val="19"/>
                <w:szCs w:val="19"/>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Trust Company, National Association (incorporated by reference to Exhibit 4.1 of the Company's</w:t>
            </w:r>
          </w:p>
        </w:tc>
      </w:tr>
      <w:tr>
        <w:trPr>
          <w:trHeight w:val="266"/>
        </w:trPr>
        <w:tc>
          <w:tcPr>
            <w:tcW w:w="940" w:type="dxa"/>
            <w:vAlign w:val="bottom"/>
          </w:tcPr>
          <w:p>
            <w:pPr>
              <w:spacing w:after="0"/>
              <w:rPr>
                <w:sz w:val="23"/>
                <w:szCs w:val="23"/>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Current Report on Form 8-K, filed on February 2, 2026)</w:t>
            </w:r>
          </w:p>
        </w:tc>
      </w:tr>
      <w:tr>
        <w:trPr>
          <w:trHeight w:val="332"/>
        </w:trPr>
        <w:tc>
          <w:tcPr>
            <w:tcW w:w="940" w:type="dxa"/>
            <w:vAlign w:val="bottom"/>
          </w:tcPr>
          <w:p>
            <w:pPr>
              <w:jc w:val="center"/>
              <w:ind w:right="183"/>
              <w:spacing w:after="0"/>
              <w:rPr>
                <w:sz w:val="20"/>
                <w:szCs w:val="20"/>
                <w:color w:val="auto"/>
              </w:rPr>
            </w:pPr>
            <w:r>
              <w:rPr>
                <w:rFonts w:ascii="Times New Roman" w:cs="Times New Roman" w:eastAsia="Times New Roman" w:hAnsi="Times New Roman"/>
                <w:sz w:val="20"/>
                <w:szCs w:val="20"/>
                <w:color w:val="231F20"/>
              </w:rPr>
              <w:t>10.1†</w:t>
            </w: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Petco Health and Wellness Company, Inc. 2021 Equity Incentive Plan (incorporated by reference to</w:t>
            </w:r>
          </w:p>
        </w:tc>
      </w:tr>
      <w:tr>
        <w:trPr>
          <w:trHeight w:val="266"/>
        </w:trPr>
        <w:tc>
          <w:tcPr>
            <w:tcW w:w="940" w:type="dxa"/>
            <w:vAlign w:val="bottom"/>
          </w:tcPr>
          <w:p>
            <w:pPr>
              <w:spacing w:after="0"/>
              <w:rPr>
                <w:sz w:val="23"/>
                <w:szCs w:val="23"/>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Exhibit 10.1 of the Company’s Current Report on Form 8-K, filed on January 19, 2021)</w:t>
            </w:r>
          </w:p>
        </w:tc>
      </w:tr>
      <w:tr>
        <w:trPr>
          <w:trHeight w:val="332"/>
        </w:trPr>
        <w:tc>
          <w:tcPr>
            <w:tcW w:w="940" w:type="dxa"/>
            <w:vAlign w:val="bottom"/>
          </w:tcPr>
          <w:p>
            <w:pPr>
              <w:jc w:val="center"/>
              <w:ind w:right="183"/>
              <w:spacing w:after="0"/>
              <w:rPr>
                <w:sz w:val="20"/>
                <w:szCs w:val="20"/>
                <w:color w:val="auto"/>
              </w:rPr>
            </w:pPr>
            <w:r>
              <w:rPr>
                <w:rFonts w:ascii="Times New Roman" w:cs="Times New Roman" w:eastAsia="Times New Roman" w:hAnsi="Times New Roman"/>
                <w:sz w:val="20"/>
                <w:szCs w:val="20"/>
                <w:color w:val="231F20"/>
              </w:rPr>
              <w:t>10.2†</w:t>
            </w: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Petco Health and Wellness Company, Inc. 2021 Employee Stock Purchase Plan (incorporated by</w:t>
            </w:r>
          </w:p>
        </w:tc>
      </w:tr>
      <w:tr>
        <w:trPr>
          <w:trHeight w:val="266"/>
        </w:trPr>
        <w:tc>
          <w:tcPr>
            <w:tcW w:w="940" w:type="dxa"/>
            <w:vAlign w:val="bottom"/>
          </w:tcPr>
          <w:p>
            <w:pPr>
              <w:spacing w:after="0"/>
              <w:rPr>
                <w:sz w:val="23"/>
                <w:szCs w:val="23"/>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reference to Exhibit 10.2 of the Company’s Current Report on Form 8-K, filed on January 19, 2021)</w:t>
            </w:r>
          </w:p>
        </w:tc>
      </w:tr>
      <w:tr>
        <w:trPr>
          <w:trHeight w:val="332"/>
        </w:trPr>
        <w:tc>
          <w:tcPr>
            <w:tcW w:w="940" w:type="dxa"/>
            <w:vAlign w:val="bottom"/>
          </w:tcPr>
          <w:p>
            <w:pPr>
              <w:jc w:val="center"/>
              <w:ind w:right="183"/>
              <w:spacing w:after="0"/>
              <w:rPr>
                <w:sz w:val="20"/>
                <w:szCs w:val="20"/>
                <w:color w:val="auto"/>
              </w:rPr>
            </w:pPr>
            <w:r>
              <w:rPr>
                <w:rFonts w:ascii="Times New Roman" w:cs="Times New Roman" w:eastAsia="Times New Roman" w:hAnsi="Times New Roman"/>
                <w:sz w:val="20"/>
                <w:szCs w:val="20"/>
                <w:color w:val="231F20"/>
              </w:rPr>
              <w:t>10.3†</w:t>
            </w: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Form of Indemnification Agreement for Directors and Certain Officers (incorporated by reference to</w:t>
            </w:r>
          </w:p>
        </w:tc>
      </w:tr>
      <w:tr>
        <w:trPr>
          <w:trHeight w:val="266"/>
        </w:trPr>
        <w:tc>
          <w:tcPr>
            <w:tcW w:w="940" w:type="dxa"/>
            <w:vAlign w:val="bottom"/>
          </w:tcPr>
          <w:p>
            <w:pPr>
              <w:spacing w:after="0"/>
              <w:rPr>
                <w:sz w:val="23"/>
                <w:szCs w:val="23"/>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Exhibit 10.2 of the Company’s Registration Statement on Form S-1, filed on December 3, 2020)</w:t>
            </w:r>
          </w:p>
        </w:tc>
      </w:tr>
      <w:tr>
        <w:trPr>
          <w:trHeight w:val="332"/>
        </w:trPr>
        <w:tc>
          <w:tcPr>
            <w:tcW w:w="940" w:type="dxa"/>
            <w:vAlign w:val="bottom"/>
          </w:tcPr>
          <w:p>
            <w:pPr>
              <w:jc w:val="center"/>
              <w:ind w:right="183"/>
              <w:spacing w:after="0"/>
              <w:rPr>
                <w:sz w:val="20"/>
                <w:szCs w:val="20"/>
                <w:color w:val="auto"/>
              </w:rPr>
            </w:pPr>
            <w:r>
              <w:rPr>
                <w:rFonts w:ascii="Times New Roman" w:cs="Times New Roman" w:eastAsia="Times New Roman" w:hAnsi="Times New Roman"/>
                <w:sz w:val="20"/>
                <w:szCs w:val="20"/>
                <w:color w:val="231F20"/>
              </w:rPr>
              <w:t>10.4†</w:t>
            </w: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Petco Health and Wellness Company, Inc. Amended and Restated Executive Severance Plan</w:t>
            </w:r>
          </w:p>
        </w:tc>
      </w:tr>
      <w:tr>
        <w:trPr>
          <w:trHeight w:val="230"/>
        </w:trPr>
        <w:tc>
          <w:tcPr>
            <w:tcW w:w="940" w:type="dxa"/>
            <w:vAlign w:val="bottom"/>
          </w:tcPr>
          <w:p>
            <w:pPr>
              <w:spacing w:after="0"/>
              <w:rPr>
                <w:sz w:val="20"/>
                <w:szCs w:val="20"/>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(incorporated by reference to Exhibit 10.1 of the Company's Quarterly Report on Form 10-Q for the</w:t>
            </w:r>
          </w:p>
        </w:tc>
      </w:tr>
      <w:tr>
        <w:trPr>
          <w:trHeight w:val="266"/>
        </w:trPr>
        <w:tc>
          <w:tcPr>
            <w:tcW w:w="940" w:type="dxa"/>
            <w:vAlign w:val="bottom"/>
          </w:tcPr>
          <w:p>
            <w:pPr>
              <w:spacing w:after="0"/>
              <w:rPr>
                <w:sz w:val="23"/>
                <w:szCs w:val="23"/>
                <w:color w:val="auto"/>
              </w:rPr>
            </w:pPr>
          </w:p>
        </w:tc>
        <w:tc>
          <w:tcPr>
            <w:tcW w:w="8420" w:type="dxa"/>
            <w:vAlign w:val="bottom"/>
          </w:tcPr>
          <w:p>
            <w:pPr>
              <w:ind w:left="180"/>
              <w:spacing w:after="0"/>
              <w:rPr>
                <w:sz w:val="20"/>
                <w:szCs w:val="20"/>
                <w:color w:val="auto"/>
              </w:rPr>
            </w:pPr>
            <w:r>
              <w:rPr>
                <w:rFonts w:ascii="Times New Roman" w:cs="Times New Roman" w:eastAsia="Times New Roman" w:hAnsi="Times New Roman"/>
                <w:sz w:val="20"/>
                <w:szCs w:val="20"/>
                <w:color w:val="231F20"/>
              </w:rPr>
              <w:t>quarter ended August 2,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-5325110</wp:posOffset>
            </wp:positionV>
            <wp:extent cx="5943600" cy="53155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2">
                      <a:extLst>
                        <a:ext uri="{28A0092B-C50C-407E-A947-70E740481C1C}"/>
                      </a:extLst>
                    </a:blip>
                    <a:srcRect/>
                    <a:stretch>
                      <a:fillRect/>
                    </a:stretch>
                  </pic:blipFill>
                  <pic:spPr bwMode="auto">
                    <a:xfrm>
                      <a:off x="0" y="0"/>
                      <a:ext cx="5943600" cy="5315585"/>
                    </a:xfrm>
                    <a:prstGeom prst="rect">
                      <a:avLst/>
                    </a:prstGeom>
                    <a:noFill/>
                  </pic:spPr>
                </pic:pic>
              </a:graphicData>
            </a:graphic>
          </wp:anchor>
        </w:drawing>
      </w:r>
    </w:p>
    <w:p>
      <w:pPr>
        <w:sectPr>
          <w:pgSz w:w="11880" w:h="15480" w:orient="portrait"/>
          <w:cols w:equalWidth="0" w:num="1">
            <w:col w:w="9360"/>
          </w:cols>
          <w:pgMar w:left="1260" w:top="1236" w:right="126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101</w:t>
      </w:r>
    </w:p>
    <w:p>
      <w:pPr>
        <w:sectPr>
          <w:pgSz w:w="11880" w:h="15480" w:orient="portrait"/>
          <w:cols w:equalWidth="0" w:num="1">
            <w:col w:w="9360"/>
          </w:cols>
          <w:pgMar w:left="1260" w:top="1236" w:right="1260" w:bottom="0" w:gutter="0" w:footer="0" w:header="0"/>
          <w:type w:val="continuous"/>
        </w:sectPr>
      </w:pPr>
    </w:p>
    <w:bookmarkStart w:id="111" w:name="page112"/>
    <w:bookmarkEnd w:id="111"/>
    <w:p>
      <w:pPr>
        <w:ind w:left="940" w:right="80" w:hanging="1021"/>
        <w:spacing w:after="0" w:line="277" w:lineRule="auto"/>
        <w:tabs>
          <w:tab w:leader="none" w:pos="920" w:val="left"/>
        </w:tabs>
        <w:rPr>
          <w:sz w:val="20"/>
          <w:szCs w:val="20"/>
          <w:color w:val="auto"/>
        </w:rPr>
      </w:pPr>
      <w:r>
        <w:rPr>
          <w:rFonts w:ascii="Times New Roman" w:cs="Times New Roman" w:eastAsia="Times New Roman" w:hAnsi="Times New Roman"/>
          <w:sz w:val="20"/>
          <w:szCs w:val="20"/>
          <w:color w:val="231F20"/>
        </w:rPr>
        <w:drawing>
          <wp:anchor simplePos="0" relativeHeight="251657728" behindDoc="1" locked="0" layoutInCell="0" allowOverlap="1">
            <wp:simplePos x="0" y="0"/>
            <wp:positionH relativeFrom="page">
              <wp:posOffset>800100</wp:posOffset>
            </wp:positionH>
            <wp:positionV relativeFrom="page">
              <wp:posOffset>800100</wp:posOffset>
            </wp:positionV>
            <wp:extent cx="5943600" cy="79432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3">
                      <a:extLst>
                        <a:ext uri="{28A0092B-C50C-407E-A947-70E740481C1C}"/>
                      </a:extLst>
                    </a:blip>
                    <a:srcRect/>
                    <a:stretch>
                      <a:fillRect/>
                    </a:stretch>
                  </pic:blipFill>
                  <pic:spPr bwMode="auto">
                    <a:xfrm>
                      <a:off x="0" y="0"/>
                      <a:ext cx="5943600" cy="7943215"/>
                    </a:xfrm>
                    <a:prstGeom prst="rect">
                      <a:avLst/>
                    </a:prstGeom>
                    <a:noFill/>
                  </pic:spPr>
                </pic:pic>
              </a:graphicData>
            </a:graphic>
          </wp:anchor>
        </w:drawing>
        <w:t>10.5†</w:t>
      </w:r>
      <w:r>
        <w:rPr>
          <w:sz w:val="20"/>
          <w:szCs w:val="20"/>
          <w:color w:val="auto"/>
        </w:rPr>
        <w:tab/>
      </w:r>
      <w:r>
        <w:rPr>
          <w:rFonts w:ascii="Times New Roman" w:cs="Times New Roman" w:eastAsia="Times New Roman" w:hAnsi="Times New Roman"/>
          <w:sz w:val="20"/>
          <w:szCs w:val="20"/>
          <w:color w:val="231F20"/>
        </w:rPr>
        <w:t>Form of Common Series C Unit Award Agreement (incorporated by reference to Exhibit 10.11 of the Company’s Registration Statement on Form S-1, filed on December 3, 2020)</w:t>
      </w:r>
    </w:p>
    <w:p>
      <w:pPr>
        <w:spacing w:after="0" w:line="67" w:lineRule="exact"/>
        <w:rPr>
          <w:sz w:val="20"/>
          <w:szCs w:val="20"/>
          <w:color w:val="auto"/>
        </w:rPr>
      </w:pPr>
    </w:p>
    <w:p>
      <w:pPr>
        <w:ind w:left="940" w:hanging="1021"/>
        <w:spacing w:after="0" w:line="252" w:lineRule="auto"/>
        <w:tabs>
          <w:tab w:leader="none" w:pos="920" w:val="left"/>
        </w:tabs>
        <w:rPr>
          <w:sz w:val="20"/>
          <w:szCs w:val="20"/>
          <w:color w:val="auto"/>
        </w:rPr>
      </w:pPr>
      <w:r>
        <w:rPr>
          <w:rFonts w:ascii="Times New Roman" w:cs="Times New Roman" w:eastAsia="Times New Roman" w:hAnsi="Times New Roman"/>
          <w:sz w:val="20"/>
          <w:szCs w:val="20"/>
          <w:color w:val="231F20"/>
        </w:rPr>
        <w:t>10.6†</w:t>
      </w:r>
      <w:r>
        <w:rPr>
          <w:sz w:val="20"/>
          <w:szCs w:val="20"/>
          <w:color w:val="auto"/>
        </w:rPr>
        <w:tab/>
      </w:r>
      <w:r>
        <w:rPr>
          <w:rFonts w:ascii="Times New Roman" w:cs="Times New Roman" w:eastAsia="Times New Roman" w:hAnsi="Times New Roman"/>
          <w:sz w:val="20"/>
          <w:szCs w:val="20"/>
          <w:color w:val="231F20"/>
        </w:rPr>
        <w:t>Form of Nonqualified Stock Options Grant Notice and Standard Terms and Conditions under the Petco Health and Wellness Company, Inc. 2021 Equity Incentive Plan (Executive Form) (incorporated by reference to Exhibit 99.6 of the Company’s Registration Statement on Form S-8, filed on January 19, 2021)</w:t>
      </w:r>
    </w:p>
    <w:p>
      <w:pPr>
        <w:spacing w:after="0" w:line="92" w:lineRule="exact"/>
        <w:rPr>
          <w:sz w:val="20"/>
          <w:szCs w:val="20"/>
          <w:color w:val="auto"/>
        </w:rPr>
      </w:pPr>
    </w:p>
    <w:p>
      <w:pPr>
        <w:ind w:left="940" w:right="180" w:hanging="1021"/>
        <w:spacing w:after="0" w:line="252" w:lineRule="auto"/>
        <w:tabs>
          <w:tab w:leader="none" w:pos="920" w:val="left"/>
        </w:tabs>
        <w:rPr>
          <w:sz w:val="20"/>
          <w:szCs w:val="20"/>
          <w:color w:val="auto"/>
        </w:rPr>
      </w:pPr>
      <w:r>
        <w:rPr>
          <w:rFonts w:ascii="Times New Roman" w:cs="Times New Roman" w:eastAsia="Times New Roman" w:hAnsi="Times New Roman"/>
          <w:sz w:val="20"/>
          <w:szCs w:val="20"/>
          <w:color w:val="231F20"/>
        </w:rPr>
        <w:t>10.7†</w:t>
      </w:r>
      <w:r>
        <w:rPr>
          <w:sz w:val="20"/>
          <w:szCs w:val="20"/>
          <w:color w:val="auto"/>
        </w:rPr>
        <w:tab/>
      </w:r>
      <w:r>
        <w:rPr>
          <w:rFonts w:ascii="Times New Roman" w:cs="Times New Roman" w:eastAsia="Times New Roman" w:hAnsi="Times New Roman"/>
          <w:sz w:val="20"/>
          <w:szCs w:val="20"/>
          <w:color w:val="231F20"/>
        </w:rPr>
        <w:t>Form of Performance Stock Unit Award Grant Notice and Standard Terms and Conditions under the Petco Health and Wellness Company, Inc. 2021 Equity Incentive Plan (2023 Executive Form) (incorporated by reference to Exhibit 10.2 of the Company’s Quarterly Report on Form 10-Q for the quarter ended April 29, 2023)</w:t>
      </w:r>
    </w:p>
    <w:p>
      <w:pPr>
        <w:spacing w:after="0" w:line="92" w:lineRule="exact"/>
        <w:rPr>
          <w:sz w:val="20"/>
          <w:szCs w:val="20"/>
          <w:color w:val="auto"/>
        </w:rPr>
      </w:pPr>
    </w:p>
    <w:p>
      <w:pPr>
        <w:ind w:left="940" w:right="340" w:hanging="1021"/>
        <w:spacing w:after="0" w:line="258" w:lineRule="auto"/>
        <w:tabs>
          <w:tab w:leader="none" w:pos="920" w:val="left"/>
        </w:tabs>
        <w:rPr>
          <w:sz w:val="20"/>
          <w:szCs w:val="20"/>
          <w:color w:val="auto"/>
        </w:rPr>
      </w:pPr>
      <w:r>
        <w:rPr>
          <w:rFonts w:ascii="Times New Roman" w:cs="Times New Roman" w:eastAsia="Times New Roman" w:hAnsi="Times New Roman"/>
          <w:sz w:val="20"/>
          <w:szCs w:val="20"/>
          <w:color w:val="231F20"/>
        </w:rPr>
        <w:t>10.8†</w:t>
      </w:r>
      <w:r>
        <w:rPr>
          <w:sz w:val="20"/>
          <w:szCs w:val="20"/>
          <w:color w:val="auto"/>
        </w:rPr>
        <w:tab/>
      </w:r>
      <w:r>
        <w:rPr>
          <w:rFonts w:ascii="Times New Roman" w:cs="Times New Roman" w:eastAsia="Times New Roman" w:hAnsi="Times New Roman"/>
          <w:sz w:val="20"/>
          <w:szCs w:val="20"/>
          <w:color w:val="231F20"/>
        </w:rPr>
        <w:t>First Amendment to Petco Health and Wellness Company, Inc. 2021 Equity Incentive Plan (incorporated by reference to Exhibit 10.1 of the Company's Current Report on Form 8-K, filed on June 23, 2023)</w:t>
      </w:r>
    </w:p>
    <w:p>
      <w:pPr>
        <w:spacing w:after="0" w:line="86" w:lineRule="exact"/>
        <w:rPr>
          <w:sz w:val="20"/>
          <w:szCs w:val="20"/>
          <w:color w:val="auto"/>
        </w:rPr>
      </w:pPr>
    </w:p>
    <w:p>
      <w:pPr>
        <w:ind w:left="940" w:right="220" w:hanging="1021"/>
        <w:spacing w:after="0" w:line="258" w:lineRule="auto"/>
        <w:tabs>
          <w:tab w:leader="none" w:pos="920" w:val="left"/>
        </w:tabs>
        <w:rPr>
          <w:sz w:val="20"/>
          <w:szCs w:val="20"/>
          <w:color w:val="auto"/>
        </w:rPr>
      </w:pPr>
      <w:r>
        <w:rPr>
          <w:rFonts w:ascii="Times New Roman" w:cs="Times New Roman" w:eastAsia="Times New Roman" w:hAnsi="Times New Roman"/>
          <w:sz w:val="20"/>
          <w:szCs w:val="20"/>
          <w:color w:val="231F20"/>
        </w:rPr>
        <w:t>10.9</w:t>
      </w:r>
      <w:r>
        <w:rPr>
          <w:sz w:val="20"/>
          <w:szCs w:val="20"/>
          <w:color w:val="auto"/>
        </w:rPr>
        <w:tab/>
      </w:r>
      <w:r>
        <w:rPr>
          <w:rFonts w:ascii="Times New Roman" w:cs="Times New Roman" w:eastAsia="Times New Roman" w:hAnsi="Times New Roman"/>
          <w:sz w:val="20"/>
          <w:szCs w:val="20"/>
          <w:color w:val="231F20"/>
        </w:rPr>
        <w:t>Stock Purchase Agreement, dated May 13, 2024, among Petco Health and Wellness Company, Inc., GSSB Corporation and Scooby Aggregator, LP. (incorporated by reference to Exhibit 10.1 of the Company's Current Report on Form 8-K, filed on May 14, 2024)</w:t>
      </w:r>
    </w:p>
    <w:p>
      <w:pPr>
        <w:spacing w:after="0" w:line="86" w:lineRule="exact"/>
        <w:rPr>
          <w:sz w:val="20"/>
          <w:szCs w:val="20"/>
          <w:color w:val="auto"/>
        </w:rPr>
      </w:pPr>
    </w:p>
    <w:p>
      <w:pPr>
        <w:jc w:val="both"/>
        <w:ind w:left="940" w:right="140" w:hanging="1021"/>
        <w:spacing w:after="0" w:line="258" w:lineRule="auto"/>
        <w:tabs>
          <w:tab w:leader="none" w:pos="920" w:val="left"/>
        </w:tabs>
        <w:rPr>
          <w:sz w:val="20"/>
          <w:szCs w:val="20"/>
          <w:color w:val="auto"/>
        </w:rPr>
      </w:pPr>
      <w:r>
        <w:rPr>
          <w:rFonts w:ascii="Times New Roman" w:cs="Times New Roman" w:eastAsia="Times New Roman" w:hAnsi="Times New Roman"/>
          <w:sz w:val="20"/>
          <w:szCs w:val="20"/>
          <w:color w:val="231F20"/>
        </w:rPr>
        <w:t>10.10†</w:t>
      </w:r>
      <w:r>
        <w:rPr>
          <w:sz w:val="20"/>
          <w:szCs w:val="20"/>
          <w:color w:val="auto"/>
        </w:rPr>
        <w:tab/>
      </w:r>
      <w:r>
        <w:rPr>
          <w:rFonts w:ascii="Times New Roman" w:cs="Times New Roman" w:eastAsia="Times New Roman" w:hAnsi="Times New Roman"/>
          <w:sz w:val="20"/>
          <w:szCs w:val="20"/>
          <w:color w:val="231F20"/>
        </w:rPr>
        <w:t>Offer Letter, dated May 13, 2024, between Glenn Murphy and Petco Health and Wellness Company, Inc. (incorporated by reference to Exhibit 10.2 of the Company's Current Report on Form 8-K, filed on May 14, 2024)</w:t>
      </w:r>
    </w:p>
    <w:p>
      <w:pPr>
        <w:spacing w:after="0" w:line="86" w:lineRule="exact"/>
        <w:rPr>
          <w:sz w:val="20"/>
          <w:szCs w:val="20"/>
          <w:color w:val="auto"/>
        </w:rPr>
      </w:pPr>
    </w:p>
    <w:p>
      <w:pPr>
        <w:ind w:left="940" w:right="200" w:hanging="1021"/>
        <w:spacing w:after="0" w:line="256" w:lineRule="auto"/>
        <w:tabs>
          <w:tab w:leader="none" w:pos="920" w:val="left"/>
        </w:tabs>
        <w:rPr>
          <w:sz w:val="20"/>
          <w:szCs w:val="20"/>
          <w:color w:val="auto"/>
        </w:rPr>
      </w:pPr>
      <w:r>
        <w:rPr>
          <w:rFonts w:ascii="Times New Roman" w:cs="Times New Roman" w:eastAsia="Times New Roman" w:hAnsi="Times New Roman"/>
          <w:sz w:val="20"/>
          <w:szCs w:val="20"/>
          <w:color w:val="231F20"/>
        </w:rPr>
        <w:t>10.11†</w:t>
      </w:r>
      <w:r>
        <w:rPr>
          <w:sz w:val="20"/>
          <w:szCs w:val="20"/>
          <w:color w:val="auto"/>
        </w:rPr>
        <w:tab/>
      </w:r>
      <w:r>
        <w:rPr>
          <w:rFonts w:ascii="Times New Roman" w:cs="Times New Roman" w:eastAsia="Times New Roman" w:hAnsi="Times New Roman"/>
          <w:sz w:val="20"/>
          <w:szCs w:val="20"/>
          <w:color w:val="231F20"/>
        </w:rPr>
        <w:t xml:space="preserve">Form of Performance Stock Unit Award Grant Notice and Standard terms and Conditions under the Petco Health and Wellness Company, Inc. 2021 Equity Incentive Plan (2024 Executive Form) </w:t>
      </w:r>
      <w:r>
        <w:rPr>
          <w:rFonts w:ascii="Times New Roman" w:cs="Times New Roman" w:eastAsia="Times New Roman" w:hAnsi="Times New Roman"/>
          <w:sz w:val="19"/>
          <w:szCs w:val="19"/>
          <w:color w:val="231F20"/>
        </w:rPr>
        <w:t>(incorporated by reference to Exhibit 10.2 of the Company’s Quarterly Report on Form 10-Q for the quarter ended May 4, 2024)</w:t>
      </w:r>
    </w:p>
    <w:p>
      <w:pPr>
        <w:spacing w:after="0" w:line="88" w:lineRule="exact"/>
        <w:rPr>
          <w:sz w:val="20"/>
          <w:szCs w:val="20"/>
          <w:color w:val="auto"/>
        </w:rPr>
      </w:pPr>
    </w:p>
    <w:p>
      <w:pPr>
        <w:ind w:left="940" w:right="200" w:hanging="1021"/>
        <w:spacing w:after="0" w:line="256" w:lineRule="auto"/>
        <w:tabs>
          <w:tab w:leader="none" w:pos="920" w:val="left"/>
        </w:tabs>
        <w:rPr>
          <w:sz w:val="20"/>
          <w:szCs w:val="20"/>
          <w:color w:val="auto"/>
        </w:rPr>
      </w:pPr>
      <w:r>
        <w:rPr>
          <w:rFonts w:ascii="Times New Roman" w:cs="Times New Roman" w:eastAsia="Times New Roman" w:hAnsi="Times New Roman"/>
          <w:sz w:val="20"/>
          <w:szCs w:val="20"/>
          <w:color w:val="231F20"/>
        </w:rPr>
        <w:t>10.12†</w:t>
      </w:r>
      <w:r>
        <w:rPr>
          <w:sz w:val="20"/>
          <w:szCs w:val="20"/>
          <w:color w:val="auto"/>
        </w:rPr>
        <w:tab/>
      </w:r>
      <w:r>
        <w:rPr>
          <w:rFonts w:ascii="Times New Roman" w:cs="Times New Roman" w:eastAsia="Times New Roman" w:hAnsi="Times New Roman"/>
          <w:sz w:val="20"/>
          <w:szCs w:val="20"/>
          <w:color w:val="231F20"/>
        </w:rPr>
        <w:t xml:space="preserve">Form of Nonqualified Stock Options Grant Notice and Standard Terms and Conditions under the Petco Health and Wellness Company, Inc. 2021 Equity Incentive Plan (Interim CEO Form) </w:t>
      </w:r>
      <w:r>
        <w:rPr>
          <w:rFonts w:ascii="Times New Roman" w:cs="Times New Roman" w:eastAsia="Times New Roman" w:hAnsi="Times New Roman"/>
          <w:sz w:val="19"/>
          <w:szCs w:val="19"/>
          <w:color w:val="231F20"/>
        </w:rPr>
        <w:t>(incorporated by reference to Exhibit 10.4 of the Company’s Quarterly Report on Form 10-Q for the quarter ended May 4, 2024)</w:t>
      </w:r>
    </w:p>
    <w:p>
      <w:pPr>
        <w:spacing w:after="0" w:line="88" w:lineRule="exact"/>
        <w:rPr>
          <w:sz w:val="20"/>
          <w:szCs w:val="20"/>
          <w:color w:val="auto"/>
        </w:rPr>
      </w:pPr>
    </w:p>
    <w:p>
      <w:pPr>
        <w:ind w:left="940" w:right="20" w:hanging="1021"/>
        <w:spacing w:after="0" w:line="256" w:lineRule="auto"/>
        <w:tabs>
          <w:tab w:leader="none" w:pos="920" w:val="left"/>
        </w:tabs>
        <w:rPr>
          <w:sz w:val="20"/>
          <w:szCs w:val="20"/>
          <w:color w:val="auto"/>
        </w:rPr>
      </w:pPr>
      <w:r>
        <w:rPr>
          <w:rFonts w:ascii="Times New Roman" w:cs="Times New Roman" w:eastAsia="Times New Roman" w:hAnsi="Times New Roman"/>
          <w:sz w:val="20"/>
          <w:szCs w:val="20"/>
          <w:color w:val="231F20"/>
        </w:rPr>
        <w:t>10.13†</w:t>
      </w:r>
      <w:r>
        <w:rPr>
          <w:sz w:val="20"/>
          <w:szCs w:val="20"/>
          <w:color w:val="auto"/>
        </w:rPr>
        <w:tab/>
      </w:r>
      <w:r>
        <w:rPr>
          <w:rFonts w:ascii="Times New Roman" w:cs="Times New Roman" w:eastAsia="Times New Roman" w:hAnsi="Times New Roman"/>
          <w:sz w:val="20"/>
          <w:szCs w:val="20"/>
          <w:color w:val="231F20"/>
        </w:rPr>
        <w:t xml:space="preserve">Form of Restricted Stock Unit Award Grant Notice and Standard Terms and Conditions under the Petco Health and Wellness Company, Inc. 2021 Equity Incentive Plan (Executive Form) </w:t>
      </w:r>
      <w:r>
        <w:rPr>
          <w:rFonts w:ascii="Times New Roman" w:cs="Times New Roman" w:eastAsia="Times New Roman" w:hAnsi="Times New Roman"/>
          <w:sz w:val="19"/>
          <w:szCs w:val="19"/>
          <w:color w:val="231F20"/>
        </w:rPr>
        <w:t>(incorporated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by reference to Exhibit 10.5 of the Company’s Quarterly Report on Form 10-Q for the quarter ended May 4, 2024)</w:t>
      </w:r>
    </w:p>
    <w:p>
      <w:pPr>
        <w:spacing w:after="0" w:line="88" w:lineRule="exact"/>
        <w:rPr>
          <w:sz w:val="20"/>
          <w:szCs w:val="20"/>
          <w:color w:val="auto"/>
        </w:rPr>
      </w:pPr>
    </w:p>
    <w:p>
      <w:pPr>
        <w:ind w:left="940" w:right="180" w:hanging="1021"/>
        <w:spacing w:after="0" w:line="258" w:lineRule="auto"/>
        <w:tabs>
          <w:tab w:leader="none" w:pos="920" w:val="left"/>
        </w:tabs>
        <w:rPr>
          <w:sz w:val="20"/>
          <w:szCs w:val="20"/>
          <w:color w:val="auto"/>
        </w:rPr>
      </w:pPr>
      <w:r>
        <w:rPr>
          <w:rFonts w:ascii="Times New Roman" w:cs="Times New Roman" w:eastAsia="Times New Roman" w:hAnsi="Times New Roman"/>
          <w:sz w:val="20"/>
          <w:szCs w:val="20"/>
          <w:color w:val="231F20"/>
        </w:rPr>
        <w:t>10.14†</w:t>
      </w:r>
      <w:r>
        <w:rPr>
          <w:sz w:val="20"/>
          <w:szCs w:val="20"/>
          <w:color w:val="auto"/>
        </w:rPr>
        <w:tab/>
      </w:r>
      <w:r>
        <w:rPr>
          <w:rFonts w:ascii="Times New Roman" w:cs="Times New Roman" w:eastAsia="Times New Roman" w:hAnsi="Times New Roman"/>
          <w:sz w:val="20"/>
          <w:szCs w:val="20"/>
          <w:color w:val="231F20"/>
        </w:rPr>
        <w:t>Offer Letter, dated July 17, 2024, between Joel D. Anderson and Petco Health and Wellness Company, Inc. (incorporated by reference to Exhibit 10.1 of the Company's Current Report on Form 8-K, filed on July 17, 2024)</w:t>
      </w:r>
    </w:p>
    <w:p>
      <w:pPr>
        <w:spacing w:after="0" w:line="86" w:lineRule="exact"/>
        <w:rPr>
          <w:sz w:val="20"/>
          <w:szCs w:val="20"/>
          <w:color w:val="auto"/>
        </w:rPr>
      </w:pPr>
    </w:p>
    <w:p>
      <w:pPr>
        <w:ind w:left="940" w:right="140" w:hanging="1021"/>
        <w:spacing w:after="0" w:line="252" w:lineRule="auto"/>
        <w:tabs>
          <w:tab w:leader="none" w:pos="920" w:val="left"/>
        </w:tabs>
        <w:rPr>
          <w:sz w:val="20"/>
          <w:szCs w:val="20"/>
          <w:color w:val="auto"/>
        </w:rPr>
      </w:pPr>
      <w:r>
        <w:rPr>
          <w:rFonts w:ascii="Times New Roman" w:cs="Times New Roman" w:eastAsia="Times New Roman" w:hAnsi="Times New Roman"/>
          <w:sz w:val="20"/>
          <w:szCs w:val="20"/>
          <w:color w:val="231F20"/>
        </w:rPr>
        <w:t>10.15†</w:t>
      </w:r>
      <w:r>
        <w:rPr>
          <w:sz w:val="20"/>
          <w:szCs w:val="20"/>
          <w:color w:val="auto"/>
        </w:rPr>
        <w:tab/>
      </w:r>
      <w:r>
        <w:rPr>
          <w:rFonts w:ascii="Times New Roman" w:cs="Times New Roman" w:eastAsia="Times New Roman" w:hAnsi="Times New Roman"/>
          <w:sz w:val="20"/>
          <w:szCs w:val="20"/>
          <w:color w:val="231F20"/>
        </w:rPr>
        <w:t>Form of Restricted Stock Unit Award Grant Notice and Standard Terms and Conditions under the Petco Health and Wellness Company, Inc. 2021 Equity Incentive Plan (Director Form) (incorporated by reference to Exhibit 99.2 of the Company’s Registration Statement on Form S-8, filed on January 19, 2021)</w:t>
      </w:r>
    </w:p>
    <w:p>
      <w:pPr>
        <w:spacing w:after="0" w:line="92" w:lineRule="exact"/>
        <w:rPr>
          <w:sz w:val="20"/>
          <w:szCs w:val="20"/>
          <w:color w:val="auto"/>
        </w:rPr>
      </w:pPr>
    </w:p>
    <w:p>
      <w:pPr>
        <w:ind w:left="940" w:hanging="1021"/>
        <w:spacing w:after="0" w:line="258" w:lineRule="auto"/>
        <w:tabs>
          <w:tab w:leader="none" w:pos="920" w:val="left"/>
        </w:tabs>
        <w:rPr>
          <w:sz w:val="20"/>
          <w:szCs w:val="20"/>
          <w:color w:val="auto"/>
        </w:rPr>
      </w:pPr>
      <w:r>
        <w:rPr>
          <w:rFonts w:ascii="Times New Roman" w:cs="Times New Roman" w:eastAsia="Times New Roman" w:hAnsi="Times New Roman"/>
          <w:sz w:val="20"/>
          <w:szCs w:val="20"/>
          <w:color w:val="231F20"/>
        </w:rPr>
        <w:t>10.16†</w:t>
      </w:r>
      <w:r>
        <w:rPr>
          <w:sz w:val="20"/>
          <w:szCs w:val="20"/>
          <w:color w:val="auto"/>
        </w:rPr>
        <w:tab/>
      </w:r>
      <w:r>
        <w:rPr>
          <w:rFonts w:ascii="Times New Roman" w:cs="Times New Roman" w:eastAsia="Times New Roman" w:hAnsi="Times New Roman"/>
          <w:sz w:val="20"/>
          <w:szCs w:val="20"/>
          <w:color w:val="231F20"/>
        </w:rPr>
        <w:t>Offer Letter, dated February 17, 2025, between Petco Health and Wellness Company, Inc. and Sabrina Simmons (incorporated by reference to Exhibit 10.1 of the Company's Current Report on Form 8-K, filed on February 18, 2025)</w:t>
      </w:r>
    </w:p>
    <w:p>
      <w:pPr>
        <w:spacing w:after="0" w:line="86" w:lineRule="exact"/>
        <w:rPr>
          <w:sz w:val="20"/>
          <w:szCs w:val="20"/>
          <w:color w:val="auto"/>
        </w:rPr>
      </w:pPr>
    </w:p>
    <w:p>
      <w:pPr>
        <w:ind w:left="940" w:right="200" w:hanging="1021"/>
        <w:spacing w:after="0" w:line="258" w:lineRule="auto"/>
        <w:tabs>
          <w:tab w:leader="none" w:pos="920" w:val="left"/>
        </w:tabs>
        <w:rPr>
          <w:sz w:val="20"/>
          <w:szCs w:val="20"/>
          <w:color w:val="auto"/>
        </w:rPr>
      </w:pPr>
      <w:r>
        <w:rPr>
          <w:rFonts w:ascii="Times New Roman" w:cs="Times New Roman" w:eastAsia="Times New Roman" w:hAnsi="Times New Roman"/>
          <w:sz w:val="20"/>
          <w:szCs w:val="20"/>
          <w:color w:val="231F20"/>
        </w:rPr>
        <w:t>10.17†</w:t>
      </w:r>
      <w:r>
        <w:rPr>
          <w:sz w:val="20"/>
          <w:szCs w:val="20"/>
          <w:color w:val="auto"/>
        </w:rPr>
        <w:tab/>
      </w:r>
      <w:r>
        <w:rPr>
          <w:rFonts w:ascii="Times New Roman" w:cs="Times New Roman" w:eastAsia="Times New Roman" w:hAnsi="Times New Roman"/>
          <w:sz w:val="20"/>
          <w:szCs w:val="20"/>
          <w:color w:val="231F20"/>
        </w:rPr>
        <w:t>Transition and Separation Agreement and General Release of Claims, dated February 20, 2025, between Petco Animal Supplies Stores, Inc. and Brian LaRose (incorporated by reference to Exhibit 10.1 of the Company's Current Report on Form 8-K/A, filed on February 25, 2025)</w:t>
      </w:r>
    </w:p>
    <w:p>
      <w:pPr>
        <w:spacing w:after="0" w:line="86" w:lineRule="exact"/>
        <w:rPr>
          <w:sz w:val="20"/>
          <w:szCs w:val="20"/>
          <w:color w:val="auto"/>
        </w:rPr>
      </w:pPr>
    </w:p>
    <w:p>
      <w:pPr>
        <w:ind w:left="940" w:right="820" w:hanging="1021"/>
        <w:spacing w:after="0" w:line="277" w:lineRule="auto"/>
        <w:tabs>
          <w:tab w:leader="none" w:pos="920" w:val="left"/>
        </w:tabs>
        <w:rPr>
          <w:sz w:val="20"/>
          <w:szCs w:val="20"/>
          <w:color w:val="auto"/>
        </w:rPr>
      </w:pPr>
      <w:r>
        <w:rPr>
          <w:rFonts w:ascii="Times New Roman" w:cs="Times New Roman" w:eastAsia="Times New Roman" w:hAnsi="Times New Roman"/>
          <w:sz w:val="20"/>
          <w:szCs w:val="20"/>
          <w:color w:val="231F20"/>
        </w:rPr>
        <w:t>10.18†</w:t>
      </w:r>
      <w:r>
        <w:rPr>
          <w:sz w:val="20"/>
          <w:szCs w:val="20"/>
          <w:color w:val="auto"/>
        </w:rPr>
        <w:tab/>
      </w:r>
      <w:r>
        <w:rPr>
          <w:rFonts w:ascii="Times New Roman" w:cs="Times New Roman" w:eastAsia="Times New Roman" w:hAnsi="Times New Roman"/>
          <w:sz w:val="20"/>
          <w:szCs w:val="20"/>
          <w:color w:val="231F20"/>
        </w:rPr>
        <w:t>Amended and Restated Grant Notice for Inducement Restricted Stock Unit Award, effective December 2, 2024, between Glenn Murphy and Petco Health and Wellness Company, Inc.</w:t>
      </w:r>
    </w:p>
    <w:p>
      <w:pPr>
        <w:sectPr>
          <w:pgSz w:w="11880" w:h="15480" w:orient="portrait"/>
          <w:cols w:equalWidth="0" w:num="1">
            <w:col w:w="9160"/>
          </w:cols>
          <w:pgMar w:left="1440" w:top="137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231F20"/>
        </w:rPr>
        <w:t>102</w:t>
      </w:r>
    </w:p>
    <w:p>
      <w:pPr>
        <w:sectPr>
          <w:pgSz w:w="11880" w:h="15480" w:orient="portrait"/>
          <w:cols w:equalWidth="0" w:num="1">
            <w:col w:w="9160"/>
          </w:cols>
          <w:pgMar w:left="1440" w:top="1378" w:right="1280" w:bottom="0" w:gutter="0" w:footer="0" w:header="0"/>
          <w:type w:val="continuous"/>
        </w:sectPr>
      </w:pPr>
    </w:p>
    <w:bookmarkStart w:id="112" w:name="page113"/>
    <w:bookmarkEnd w:id="112"/>
    <w:p>
      <w:pPr>
        <w:ind w:left="940" w:right="300"/>
        <w:spacing w:after="0" w:line="277" w:lineRule="auto"/>
        <w:rPr>
          <w:sz w:val="20"/>
          <w:szCs w:val="20"/>
          <w:color w:val="auto"/>
        </w:rPr>
      </w:pPr>
      <w:r>
        <w:rPr>
          <w:rFonts w:ascii="Times New Roman" w:cs="Times New Roman" w:eastAsia="Times New Roman" w:hAnsi="Times New Roman"/>
          <w:sz w:val="20"/>
          <w:szCs w:val="20"/>
          <w:color w:val="231F20"/>
        </w:rPr>
        <w:t>(incorporated by reference to Exhibit 10.44 of the Company's Annual Report on Form 10-K for the fisca year ended February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-323850</wp:posOffset>
            </wp:positionV>
            <wp:extent cx="5943600" cy="8129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
                      <a:extLst>
                        <a:ext uri="{28A0092B-C50C-407E-A947-70E740481C1C}"/>
                      </a:extLst>
                    </a:blip>
                    <a:srcRect/>
                    <a:stretch>
                      <a:fillRect/>
                    </a:stretch>
                  </pic:blipFill>
                  <pic:spPr bwMode="auto">
                    <a:xfrm>
                      <a:off x="0" y="0"/>
                      <a:ext cx="5943600" cy="8129905"/>
                    </a:xfrm>
                    <a:prstGeom prst="rect">
                      <a:avLst/>
                    </a:prstGeom>
                    <a:noFill/>
                  </pic:spPr>
                </pic:pic>
              </a:graphicData>
            </a:graphic>
          </wp:anchor>
        </w:drawing>
      </w:r>
    </w:p>
    <w:p>
      <w:pPr>
        <w:spacing w:after="0" w:line="47" w:lineRule="exact"/>
        <w:rPr>
          <w:sz w:val="20"/>
          <w:szCs w:val="20"/>
          <w:color w:val="auto"/>
        </w:rPr>
      </w:pPr>
    </w:p>
    <w:p>
      <w:pPr>
        <w:ind w:left="940" w:right="260" w:hanging="1021"/>
        <w:spacing w:after="0" w:line="252" w:lineRule="auto"/>
        <w:tabs>
          <w:tab w:leader="none" w:pos="920" w:val="left"/>
        </w:tabs>
        <w:rPr>
          <w:sz w:val="20"/>
          <w:szCs w:val="20"/>
          <w:color w:val="auto"/>
        </w:rPr>
      </w:pPr>
      <w:r>
        <w:rPr>
          <w:rFonts w:ascii="Times New Roman" w:cs="Times New Roman" w:eastAsia="Times New Roman" w:hAnsi="Times New Roman"/>
          <w:sz w:val="20"/>
          <w:szCs w:val="20"/>
          <w:color w:val="231F20"/>
        </w:rPr>
        <w:t>10.19†</w:t>
      </w:r>
      <w:r>
        <w:rPr>
          <w:sz w:val="20"/>
          <w:szCs w:val="20"/>
          <w:color w:val="auto"/>
        </w:rPr>
        <w:tab/>
      </w:r>
      <w:r>
        <w:rPr>
          <w:rFonts w:ascii="Times New Roman" w:cs="Times New Roman" w:eastAsia="Times New Roman" w:hAnsi="Times New Roman"/>
          <w:sz w:val="20"/>
          <w:szCs w:val="20"/>
          <w:color w:val="231F20"/>
        </w:rPr>
        <w:t>Form of Restricted Stock Unit Award Grant Notice and Standard Terms and Conditions under the Petco Health and Wellness Company, Inc. 2021 Equity Incentive Plan (2025 Executive Form) (incorporated by reference to Exhibit 10.46 of the Company’s Annual Report on Form 10-K for the fiscal year ended February 1, 2025)</w:t>
      </w:r>
    </w:p>
    <w:p>
      <w:pPr>
        <w:spacing w:after="0" w:line="92" w:lineRule="exact"/>
        <w:rPr>
          <w:sz w:val="20"/>
          <w:szCs w:val="20"/>
          <w:color w:val="auto"/>
        </w:rPr>
      </w:pPr>
    </w:p>
    <w:p>
      <w:pPr>
        <w:ind w:left="940" w:right="260" w:hanging="1021"/>
        <w:spacing w:after="0" w:line="252" w:lineRule="auto"/>
        <w:tabs>
          <w:tab w:leader="none" w:pos="920" w:val="left"/>
        </w:tabs>
        <w:rPr>
          <w:sz w:val="20"/>
          <w:szCs w:val="20"/>
          <w:color w:val="auto"/>
        </w:rPr>
      </w:pPr>
      <w:r>
        <w:rPr>
          <w:rFonts w:ascii="Times New Roman" w:cs="Times New Roman" w:eastAsia="Times New Roman" w:hAnsi="Times New Roman"/>
          <w:sz w:val="20"/>
          <w:szCs w:val="20"/>
          <w:color w:val="231F20"/>
        </w:rPr>
        <w:t>10.20†</w:t>
      </w:r>
      <w:r>
        <w:rPr>
          <w:sz w:val="20"/>
          <w:szCs w:val="20"/>
          <w:color w:val="auto"/>
        </w:rPr>
        <w:tab/>
      </w:r>
      <w:r>
        <w:rPr>
          <w:rFonts w:ascii="Times New Roman" w:cs="Times New Roman" w:eastAsia="Times New Roman" w:hAnsi="Times New Roman"/>
          <w:sz w:val="20"/>
          <w:szCs w:val="20"/>
          <w:color w:val="231F20"/>
        </w:rPr>
        <w:t>Form of Nonqualified Stock Options Grant Notice and Standard Terms and Conditions under the Petco Health and Wellness Company, Inc. 2021 Equity Incentive Plan (2025 Executive Form) (incorporated by reference to Exhibit 10.47 of the Company’s Annual Report on Form 10-K for the fiscal year ended February 1, 2025)</w:t>
      </w:r>
    </w:p>
    <w:p>
      <w:pPr>
        <w:spacing w:after="0" w:line="92" w:lineRule="exact"/>
        <w:rPr>
          <w:sz w:val="20"/>
          <w:szCs w:val="20"/>
          <w:color w:val="auto"/>
        </w:rPr>
      </w:pPr>
    </w:p>
    <w:p>
      <w:pPr>
        <w:ind w:left="940" w:right="240" w:hanging="1021"/>
        <w:spacing w:after="0" w:line="252" w:lineRule="auto"/>
        <w:tabs>
          <w:tab w:leader="none" w:pos="920" w:val="left"/>
        </w:tabs>
        <w:rPr>
          <w:sz w:val="20"/>
          <w:szCs w:val="20"/>
          <w:color w:val="auto"/>
        </w:rPr>
      </w:pPr>
      <w:r>
        <w:rPr>
          <w:rFonts w:ascii="Times New Roman" w:cs="Times New Roman" w:eastAsia="Times New Roman" w:hAnsi="Times New Roman"/>
          <w:sz w:val="20"/>
          <w:szCs w:val="20"/>
          <w:color w:val="231F20"/>
        </w:rPr>
        <w:t>10.21†</w:t>
      </w:r>
      <w:r>
        <w:rPr>
          <w:sz w:val="20"/>
          <w:szCs w:val="20"/>
          <w:color w:val="auto"/>
        </w:rPr>
        <w:tab/>
      </w:r>
      <w:r>
        <w:rPr>
          <w:rFonts w:ascii="Times New Roman" w:cs="Times New Roman" w:eastAsia="Times New Roman" w:hAnsi="Times New Roman"/>
          <w:sz w:val="20"/>
          <w:szCs w:val="20"/>
          <w:color w:val="231F20"/>
        </w:rPr>
        <w:t>Form of Performance Stock Unit Award Grant Notice and Standard terms and Conditions under the Petco Health and Wellness Company, Inc. 2021 Equity Incentive Plan (2025 Executive Form) (incorporated by reference to Exhibit 10.48 of the Company’s Annual Report on Form 10-K for the fiscal year ended February 1, 2025)</w:t>
      </w:r>
    </w:p>
    <w:p>
      <w:pPr>
        <w:spacing w:after="0" w:line="92" w:lineRule="exact"/>
        <w:rPr>
          <w:sz w:val="20"/>
          <w:szCs w:val="20"/>
          <w:color w:val="auto"/>
        </w:rPr>
      </w:pPr>
    </w:p>
    <w:p>
      <w:pPr>
        <w:ind w:left="940" w:right="260" w:hanging="1021"/>
        <w:spacing w:after="0" w:line="252" w:lineRule="auto"/>
        <w:tabs>
          <w:tab w:leader="none" w:pos="920" w:val="left"/>
        </w:tabs>
        <w:rPr>
          <w:sz w:val="20"/>
          <w:szCs w:val="20"/>
          <w:color w:val="auto"/>
        </w:rPr>
      </w:pPr>
      <w:r>
        <w:rPr>
          <w:rFonts w:ascii="Times New Roman" w:cs="Times New Roman" w:eastAsia="Times New Roman" w:hAnsi="Times New Roman"/>
          <w:sz w:val="20"/>
          <w:szCs w:val="20"/>
          <w:color w:val="231F20"/>
        </w:rPr>
        <w:t>10.22†</w:t>
      </w:r>
      <w:r>
        <w:rPr>
          <w:sz w:val="20"/>
          <w:szCs w:val="20"/>
          <w:color w:val="auto"/>
        </w:rPr>
        <w:tab/>
      </w:r>
      <w:r>
        <w:rPr>
          <w:rFonts w:ascii="Times New Roman" w:cs="Times New Roman" w:eastAsia="Times New Roman" w:hAnsi="Times New Roman"/>
          <w:sz w:val="20"/>
          <w:szCs w:val="20"/>
          <w:color w:val="231F20"/>
        </w:rPr>
        <w:t>Form of Restricted Stock Unit Award Grant Notice and Standard Terms and Conditions under the Petco Health and Wellness Company, Inc. 2021 Equity Incentive Plan (2025 CEO Form) (incorporated by reference to Exhibit 10.49 of the Company’s Annual Report on Form 10-K for the fiscal year ended February 1, 2025)</w:t>
      </w:r>
    </w:p>
    <w:p>
      <w:pPr>
        <w:spacing w:after="0" w:line="92" w:lineRule="exact"/>
        <w:rPr>
          <w:sz w:val="20"/>
          <w:szCs w:val="20"/>
          <w:color w:val="auto"/>
        </w:rPr>
      </w:pPr>
    </w:p>
    <w:p>
      <w:pPr>
        <w:ind w:left="940" w:right="260" w:hanging="1021"/>
        <w:spacing w:after="0" w:line="252" w:lineRule="auto"/>
        <w:tabs>
          <w:tab w:leader="none" w:pos="920" w:val="left"/>
        </w:tabs>
        <w:rPr>
          <w:sz w:val="20"/>
          <w:szCs w:val="20"/>
          <w:color w:val="auto"/>
        </w:rPr>
      </w:pPr>
      <w:r>
        <w:rPr>
          <w:rFonts w:ascii="Times New Roman" w:cs="Times New Roman" w:eastAsia="Times New Roman" w:hAnsi="Times New Roman"/>
          <w:sz w:val="20"/>
          <w:szCs w:val="20"/>
          <w:color w:val="231F20"/>
        </w:rPr>
        <w:t>10.23†</w:t>
      </w:r>
      <w:r>
        <w:rPr>
          <w:sz w:val="20"/>
          <w:szCs w:val="20"/>
          <w:color w:val="auto"/>
        </w:rPr>
        <w:tab/>
      </w:r>
      <w:r>
        <w:rPr>
          <w:rFonts w:ascii="Times New Roman" w:cs="Times New Roman" w:eastAsia="Times New Roman" w:hAnsi="Times New Roman"/>
          <w:sz w:val="20"/>
          <w:szCs w:val="20"/>
          <w:color w:val="231F20"/>
        </w:rPr>
        <w:t>Form of Nonqualified Stock Options Grant Notice and Standard Terms and Conditions under the Petco Health and Wellness Company, Inc. 2021 Equity Incentive Plan (2025 CEO Form) (incorporated by reference to Exhibit 10.50 of the Company’s Annual Report on Form 10-K for the fiscal year ended February 1, 2025)</w:t>
      </w:r>
    </w:p>
    <w:p>
      <w:pPr>
        <w:spacing w:after="0" w:line="92" w:lineRule="exact"/>
        <w:rPr>
          <w:sz w:val="20"/>
          <w:szCs w:val="20"/>
          <w:color w:val="auto"/>
        </w:rPr>
      </w:pPr>
    </w:p>
    <w:p>
      <w:pPr>
        <w:ind w:left="940" w:right="180" w:hanging="1021"/>
        <w:spacing w:after="0" w:line="252" w:lineRule="auto"/>
        <w:tabs>
          <w:tab w:leader="none" w:pos="920" w:val="left"/>
        </w:tabs>
        <w:rPr>
          <w:sz w:val="20"/>
          <w:szCs w:val="20"/>
          <w:color w:val="auto"/>
        </w:rPr>
      </w:pPr>
      <w:r>
        <w:rPr>
          <w:rFonts w:ascii="Times New Roman" w:cs="Times New Roman" w:eastAsia="Times New Roman" w:hAnsi="Times New Roman"/>
          <w:sz w:val="20"/>
          <w:szCs w:val="20"/>
          <w:color w:val="231F20"/>
        </w:rPr>
        <w:t>10.24†</w:t>
      </w:r>
      <w:r>
        <w:rPr>
          <w:sz w:val="20"/>
          <w:szCs w:val="20"/>
          <w:color w:val="auto"/>
        </w:rPr>
        <w:tab/>
      </w:r>
      <w:r>
        <w:rPr>
          <w:rFonts w:ascii="Times New Roman" w:cs="Times New Roman" w:eastAsia="Times New Roman" w:hAnsi="Times New Roman"/>
          <w:sz w:val="20"/>
          <w:szCs w:val="20"/>
          <w:color w:val="231F20"/>
        </w:rPr>
        <w:t>Form of Performance Stock Unit Award Grant Notice and Standard Terms and Conditions under the Petco Health and Wellness Company, Inc. 2021 Equity Incentive Plan (CEO PSU Grant) (incorporated by reference to Exhibit 10.1 of the Company’s Quarterly Report on Form 10-Q for the quarter ended November 1, 2025)</w:t>
      </w:r>
    </w:p>
    <w:p>
      <w:pPr>
        <w:spacing w:after="0" w:line="92" w:lineRule="exact"/>
        <w:rPr>
          <w:sz w:val="20"/>
          <w:szCs w:val="20"/>
          <w:color w:val="auto"/>
        </w:rPr>
      </w:pPr>
    </w:p>
    <w:p>
      <w:pPr>
        <w:ind w:left="940" w:right="380" w:hanging="1021"/>
        <w:spacing w:after="0" w:line="258" w:lineRule="auto"/>
        <w:tabs>
          <w:tab w:leader="none" w:pos="920" w:val="left"/>
        </w:tabs>
        <w:rPr>
          <w:sz w:val="20"/>
          <w:szCs w:val="20"/>
          <w:color w:val="auto"/>
        </w:rPr>
      </w:pPr>
      <w:r>
        <w:rPr>
          <w:rFonts w:ascii="Times New Roman" w:cs="Times New Roman" w:eastAsia="Times New Roman" w:hAnsi="Times New Roman"/>
          <w:sz w:val="20"/>
          <w:szCs w:val="20"/>
          <w:color w:val="231F20"/>
        </w:rPr>
        <w:t>10.25†</w:t>
      </w:r>
      <w:r>
        <w:rPr>
          <w:sz w:val="20"/>
          <w:szCs w:val="20"/>
          <w:color w:val="auto"/>
        </w:rPr>
        <w:tab/>
      </w:r>
      <w:r>
        <w:rPr>
          <w:rFonts w:ascii="Times New Roman" w:cs="Times New Roman" w:eastAsia="Times New Roman" w:hAnsi="Times New Roman"/>
          <w:sz w:val="20"/>
          <w:szCs w:val="20"/>
          <w:color w:val="231F20"/>
        </w:rPr>
        <w:t>Form of Grant Notice for Inducement Restricted Stock Unit Award and Standard Terms and Conditions for Inducement Restricted Stock Units (Romanko Form) (incorporated by reference to Exhibit 99.1 of the Company’s Registration Statement on Form S-8, filed on March 6, 2025)</w:t>
      </w:r>
    </w:p>
    <w:p>
      <w:pPr>
        <w:spacing w:after="0" w:line="86" w:lineRule="exact"/>
        <w:rPr>
          <w:sz w:val="20"/>
          <w:szCs w:val="20"/>
          <w:color w:val="auto"/>
        </w:rPr>
      </w:pPr>
    </w:p>
    <w:p>
      <w:pPr>
        <w:ind w:left="940" w:right="180" w:hanging="1021"/>
        <w:spacing w:after="0" w:line="258" w:lineRule="auto"/>
        <w:tabs>
          <w:tab w:leader="none" w:pos="920" w:val="left"/>
        </w:tabs>
        <w:rPr>
          <w:sz w:val="20"/>
          <w:szCs w:val="20"/>
          <w:color w:val="auto"/>
        </w:rPr>
      </w:pPr>
      <w:r>
        <w:rPr>
          <w:rFonts w:ascii="Times New Roman" w:cs="Times New Roman" w:eastAsia="Times New Roman" w:hAnsi="Times New Roman"/>
          <w:sz w:val="20"/>
          <w:szCs w:val="20"/>
          <w:color w:val="231F20"/>
        </w:rPr>
        <w:t>10.26†</w:t>
      </w:r>
      <w:r>
        <w:rPr>
          <w:sz w:val="20"/>
          <w:szCs w:val="20"/>
          <w:color w:val="auto"/>
        </w:rPr>
        <w:tab/>
      </w:r>
      <w:r>
        <w:rPr>
          <w:rFonts w:ascii="Times New Roman" w:cs="Times New Roman" w:eastAsia="Times New Roman" w:hAnsi="Times New Roman"/>
          <w:sz w:val="20"/>
          <w:szCs w:val="20"/>
          <w:color w:val="231F20"/>
        </w:rPr>
        <w:t>Form of Grant Notice for Inducement Performance Stock Unit Award and Standard Terms and Conditions for Inducement Performance Stock Units (Romanko Form) (incorporated by reference to Exhibit 99.2 of the Company’s Registration Statement on Form S-8, filed on March 6, 2025)</w:t>
      </w:r>
    </w:p>
    <w:p>
      <w:pPr>
        <w:spacing w:after="0" w:line="86" w:lineRule="exact"/>
        <w:rPr>
          <w:sz w:val="20"/>
          <w:szCs w:val="20"/>
          <w:color w:val="auto"/>
        </w:rPr>
      </w:pPr>
    </w:p>
    <w:p>
      <w:pPr>
        <w:ind w:left="940" w:right="160" w:hanging="1021"/>
        <w:spacing w:after="0" w:line="278" w:lineRule="auto"/>
        <w:tabs>
          <w:tab w:leader="none" w:pos="920" w:val="left"/>
        </w:tabs>
        <w:rPr>
          <w:sz w:val="20"/>
          <w:szCs w:val="20"/>
          <w:color w:val="auto"/>
        </w:rPr>
      </w:pPr>
      <w:r>
        <w:rPr>
          <w:rFonts w:ascii="Times New Roman" w:cs="Times New Roman" w:eastAsia="Times New Roman" w:hAnsi="Times New Roman"/>
          <w:sz w:val="20"/>
          <w:szCs w:val="20"/>
          <w:color w:val="231F20"/>
        </w:rPr>
        <w:t>10.27†</w:t>
      </w:r>
      <w:r>
        <w:rPr>
          <w:sz w:val="20"/>
          <w:szCs w:val="20"/>
          <w:color w:val="auto"/>
        </w:rPr>
        <w:tab/>
      </w:r>
      <w:r>
        <w:rPr>
          <w:rFonts w:ascii="Times New Roman" w:cs="Times New Roman" w:eastAsia="Times New Roman" w:hAnsi="Times New Roman"/>
          <w:sz w:val="19"/>
          <w:szCs w:val="19"/>
          <w:color w:val="231F20"/>
        </w:rPr>
        <w:t>Form of Grant Notice for Inducement Nonqualified Stock Options and Standard Terms and Conditions for Inducement Nonqualified Stock Options (Romanko Form) (incorporated by reference to Exhibit 99.3 of the Company’s Registration Statement on Form S-8, filed on March 6, 2025)</w:t>
      </w:r>
    </w:p>
    <w:p>
      <w:pPr>
        <w:spacing w:after="0" w:line="69" w:lineRule="exact"/>
        <w:rPr>
          <w:sz w:val="20"/>
          <w:szCs w:val="20"/>
          <w:color w:val="auto"/>
        </w:rPr>
      </w:pPr>
    </w:p>
    <w:p>
      <w:pPr>
        <w:ind w:left="940" w:hanging="1021"/>
        <w:spacing w:after="0" w:line="252" w:lineRule="auto"/>
        <w:tabs>
          <w:tab w:leader="none" w:pos="920" w:val="left"/>
        </w:tabs>
        <w:rPr>
          <w:sz w:val="20"/>
          <w:szCs w:val="20"/>
          <w:color w:val="auto"/>
        </w:rPr>
      </w:pPr>
      <w:r>
        <w:rPr>
          <w:rFonts w:ascii="Times New Roman" w:cs="Times New Roman" w:eastAsia="Times New Roman" w:hAnsi="Times New Roman"/>
          <w:sz w:val="20"/>
          <w:szCs w:val="20"/>
          <w:color w:val="231F20"/>
        </w:rPr>
        <w:t>10.28†</w:t>
      </w:r>
      <w:r>
        <w:rPr>
          <w:sz w:val="20"/>
          <w:szCs w:val="20"/>
          <w:color w:val="auto"/>
        </w:rPr>
        <w:tab/>
      </w:r>
      <w:r>
        <w:rPr>
          <w:rFonts w:ascii="Times New Roman" w:cs="Times New Roman" w:eastAsia="Times New Roman" w:hAnsi="Times New Roman"/>
          <w:sz w:val="20"/>
          <w:szCs w:val="20"/>
          <w:color w:val="231F20"/>
        </w:rPr>
        <w:t>Form of Performance Stock Unit Award Grant Notice and Standard terms and Conditions under the Petco Health and Wellness Company, Inc. 2021 Equity Incentive Plan (Chief Merchandising Officer Form) (incorporated by reference to Exhibit 10.55 of the Company’s Annual Report on Form 10-K for the fiscal year ended February 1, 2025)</w:t>
      </w:r>
    </w:p>
    <w:p>
      <w:pPr>
        <w:spacing w:after="0" w:line="92" w:lineRule="exact"/>
        <w:rPr>
          <w:sz w:val="20"/>
          <w:szCs w:val="20"/>
          <w:color w:val="auto"/>
        </w:rPr>
      </w:pPr>
    </w:p>
    <w:p>
      <w:pPr>
        <w:ind w:left="940" w:right="140" w:hanging="1021"/>
        <w:spacing w:after="0" w:line="252" w:lineRule="auto"/>
        <w:tabs>
          <w:tab w:leader="none" w:pos="920" w:val="left"/>
        </w:tabs>
        <w:rPr>
          <w:sz w:val="20"/>
          <w:szCs w:val="20"/>
          <w:color w:val="auto"/>
        </w:rPr>
      </w:pPr>
      <w:r>
        <w:rPr>
          <w:rFonts w:ascii="Times New Roman" w:cs="Times New Roman" w:eastAsia="Times New Roman" w:hAnsi="Times New Roman"/>
          <w:sz w:val="20"/>
          <w:szCs w:val="20"/>
          <w:color w:val="231F20"/>
        </w:rPr>
        <w:t>10.29</w:t>
      </w:r>
      <w:r>
        <w:rPr>
          <w:sz w:val="20"/>
          <w:szCs w:val="20"/>
          <w:color w:val="auto"/>
        </w:rPr>
        <w:tab/>
      </w:r>
      <w:r>
        <w:rPr>
          <w:rFonts w:ascii="Times New Roman" w:cs="Times New Roman" w:eastAsia="Times New Roman" w:hAnsi="Times New Roman"/>
          <w:sz w:val="20"/>
          <w:szCs w:val="20"/>
          <w:color w:val="231F20"/>
        </w:rPr>
        <w:t>Form of Restricted Stock Unit Award Grant Notice and Standard Terms and Conditions under the Petco Health and Wellness Company, Inc. 2021 Equity Incentive Plan (Director Form) (incorporated by reference to Exhibit 99.2 of the Company’s Registration Statement on Form S-8, filed on January 19, 2021)</w:t>
      </w:r>
    </w:p>
    <w:p>
      <w:pPr>
        <w:spacing w:after="0" w:line="84" w:lineRule="exact"/>
        <w:rPr>
          <w:sz w:val="20"/>
          <w:szCs w:val="20"/>
          <w:color w:val="auto"/>
        </w:rPr>
      </w:pPr>
    </w:p>
    <w:p>
      <w:pPr>
        <w:ind w:left="940" w:right="240" w:hanging="1021"/>
        <w:spacing w:after="0" w:line="277" w:lineRule="auto"/>
        <w:tabs>
          <w:tab w:leader="none" w:pos="920" w:val="left"/>
        </w:tabs>
        <w:rPr>
          <w:sz w:val="20"/>
          <w:szCs w:val="20"/>
          <w:color w:val="auto"/>
        </w:rPr>
      </w:pPr>
      <w:r>
        <w:rPr>
          <w:rFonts w:ascii="Times New Roman" w:cs="Times New Roman" w:eastAsia="Times New Roman" w:hAnsi="Times New Roman"/>
          <w:sz w:val="20"/>
          <w:szCs w:val="20"/>
          <w:color w:val="231F20"/>
        </w:rPr>
        <w:t>10.30†*</w:t>
      </w:r>
      <w:r>
        <w:rPr>
          <w:sz w:val="20"/>
          <w:szCs w:val="20"/>
          <w:color w:val="auto"/>
        </w:rPr>
        <w:tab/>
      </w:r>
      <w:r>
        <w:rPr>
          <w:rFonts w:ascii="Times New Roman" w:cs="Times New Roman" w:eastAsia="Times New Roman" w:hAnsi="Times New Roman"/>
          <w:sz w:val="20"/>
          <w:szCs w:val="20"/>
          <w:color w:val="231F20"/>
        </w:rPr>
        <w:t>Form of Performance Stock Unit Award Grant Notice and Standard terms and Conditions under the Petco Health and Wellness Company, Inc. 2021 Equity Incentive Plan (2026 CEO Form)</w:t>
      </w:r>
    </w:p>
    <w:p>
      <w:pPr>
        <w:spacing w:after="0" w:line="44" w:lineRule="exact"/>
        <w:rPr>
          <w:sz w:val="20"/>
          <w:szCs w:val="20"/>
          <w:color w:val="auto"/>
        </w:rPr>
      </w:pPr>
    </w:p>
    <w:p>
      <w:pPr>
        <w:ind w:left="940" w:right="80" w:hanging="1021"/>
        <w:spacing w:after="0" w:line="258" w:lineRule="auto"/>
        <w:tabs>
          <w:tab w:leader="none" w:pos="920" w:val="left"/>
        </w:tabs>
        <w:rPr>
          <w:sz w:val="20"/>
          <w:szCs w:val="20"/>
          <w:color w:val="auto"/>
        </w:rPr>
      </w:pPr>
      <w:r>
        <w:rPr>
          <w:rFonts w:ascii="Times New Roman" w:cs="Times New Roman" w:eastAsia="Times New Roman" w:hAnsi="Times New Roman"/>
          <w:sz w:val="20"/>
          <w:szCs w:val="20"/>
          <w:color w:val="231F20"/>
        </w:rPr>
        <w:t>10.31</w:t>
      </w:r>
      <w:r>
        <w:rPr>
          <w:sz w:val="20"/>
          <w:szCs w:val="20"/>
          <w:color w:val="auto"/>
        </w:rPr>
        <w:tab/>
      </w:r>
      <w:r>
        <w:rPr>
          <w:rFonts w:ascii="Times New Roman" w:cs="Times New Roman" w:eastAsia="Times New Roman" w:hAnsi="Times New Roman"/>
          <w:sz w:val="20"/>
          <w:szCs w:val="20"/>
          <w:color w:val="231F20"/>
        </w:rPr>
        <w:t>ABL Revolving Credit Agreement, dated March 4, 2021, by and among Petco Health and Wellness Company, Inc., the Lenders party thereto, and Citibank, N.A., as Administrative Agent and Collateral Agent, as amended by the First Amendment to ABL Revolving Credit Agreement, dated December</w:t>
      </w:r>
    </w:p>
    <w:p>
      <w:pPr>
        <w:sectPr>
          <w:pgSz w:w="11880" w:h="15480" w:orient="portrait"/>
          <w:cols w:equalWidth="0" w:num="1">
            <w:col w:w="9160"/>
          </w:cols>
          <w:pgMar w:left="1440" w:top="1240" w:right="128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231F20"/>
        </w:rPr>
        <w:t>103</w:t>
      </w:r>
    </w:p>
    <w:p>
      <w:pPr>
        <w:sectPr>
          <w:pgSz w:w="11880" w:h="15480" w:orient="portrait"/>
          <w:cols w:equalWidth="0" w:num="1">
            <w:col w:w="9160"/>
          </w:cols>
          <w:pgMar w:left="1440" w:top="1240" w:right="1280" w:bottom="0" w:gutter="0" w:footer="0" w:header="0"/>
          <w:type w:val="continuous"/>
        </w:sectPr>
      </w:pPr>
    </w:p>
    <w:bookmarkStart w:id="113" w:name="page114"/>
    <w:bookmarkEnd w:id="113"/>
    <w:p>
      <w:pPr>
        <w:ind w:left="1020"/>
        <w:spacing w:after="0" w:line="247" w:lineRule="auto"/>
        <w:rPr>
          <w:sz w:val="20"/>
          <w:szCs w:val="20"/>
          <w:color w:val="auto"/>
        </w:rPr>
      </w:pPr>
      <w:r>
        <w:rPr>
          <w:rFonts w:ascii="Times New Roman" w:cs="Times New Roman" w:eastAsia="Times New Roman" w:hAnsi="Times New Roman"/>
          <w:sz w:val="20"/>
          <w:szCs w:val="20"/>
          <w:color w:val="231F20"/>
        </w:rPr>
        <w:t>12, 2022, by and between Petco Health and Wellness Company, Inc. and Citibank, N.A., as administrative agent, as further amended by the Second Amendment to ABL Revolving Credit Agreement, dated March 29, 2024, by and among Petco Health and Wellness Company, Inc., the Loan Parties party thereto, the several banks and financial institutions party thereto, and Citibank, N.A., as administrative agent (incorporated by reference to Exhibit 10.31 of the Company’s Annual Report on Form 10-K for the fiscal year ended February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-889000</wp:posOffset>
            </wp:positionV>
            <wp:extent cx="5943600" cy="8219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5">
                      <a:extLst>
                        <a:ext uri="{28A0092B-C50C-407E-A947-70E740481C1C}"/>
                      </a:extLst>
                    </a:blip>
                    <a:srcRect/>
                    <a:stretch>
                      <a:fillRect/>
                    </a:stretch>
                  </pic:blipFill>
                  <pic:spPr bwMode="auto">
                    <a:xfrm>
                      <a:off x="0" y="0"/>
                      <a:ext cx="5943600" cy="8219440"/>
                    </a:xfrm>
                    <a:prstGeom prst="rect">
                      <a:avLst/>
                    </a:prstGeom>
                    <a:noFill/>
                  </pic:spPr>
                </pic:pic>
              </a:graphicData>
            </a:graphic>
          </wp:anchor>
        </w:drawing>
      </w:r>
    </w:p>
    <w:p>
      <w:pPr>
        <w:spacing w:after="0" w:line="55" w:lineRule="exact"/>
        <w:rPr>
          <w:sz w:val="20"/>
          <w:szCs w:val="20"/>
          <w:color w:val="auto"/>
        </w:rPr>
      </w:pPr>
    </w:p>
    <w:p>
      <w:pPr>
        <w:ind w:left="1020" w:right="20" w:hanging="1021"/>
        <w:spacing w:after="0" w:line="252" w:lineRule="auto"/>
        <w:tabs>
          <w:tab w:leader="none" w:pos="1000" w:val="left"/>
        </w:tabs>
        <w:rPr>
          <w:sz w:val="20"/>
          <w:szCs w:val="20"/>
          <w:color w:val="auto"/>
        </w:rPr>
      </w:pPr>
      <w:r>
        <w:rPr>
          <w:rFonts w:ascii="Times New Roman" w:cs="Times New Roman" w:eastAsia="Times New Roman" w:hAnsi="Times New Roman"/>
          <w:sz w:val="20"/>
          <w:szCs w:val="20"/>
          <w:color w:val="231F20"/>
        </w:rPr>
        <w:t>10.32</w:t>
      </w:r>
      <w:r>
        <w:rPr>
          <w:sz w:val="20"/>
          <w:szCs w:val="20"/>
          <w:color w:val="auto"/>
        </w:rPr>
        <w:tab/>
      </w:r>
      <w:r>
        <w:rPr>
          <w:rFonts w:ascii="Times New Roman" w:cs="Times New Roman" w:eastAsia="Times New Roman" w:hAnsi="Times New Roman"/>
          <w:sz w:val="20"/>
          <w:szCs w:val="20"/>
          <w:color w:val="231F20"/>
        </w:rPr>
        <w:t>ABL Guaranty, dated March 4, 2021, by and among Petco Health and Wellness Company, Inc., as Borrower, the Guarantors from time to time party thereto, and Citibank, N.A., as Administrative Agent (incorporated by reference to Exhibit 10.31 of the Company’s Annual Report on Form 10-K for the fiscal year ended January 31, 2021)</w:t>
      </w:r>
    </w:p>
    <w:p>
      <w:pPr>
        <w:spacing w:after="0" w:line="69" w:lineRule="exact"/>
        <w:rPr>
          <w:sz w:val="20"/>
          <w:szCs w:val="20"/>
          <w:color w:val="auto"/>
        </w:rPr>
      </w:pPr>
    </w:p>
    <w:p>
      <w:pPr>
        <w:ind w:left="1020" w:right="20" w:hanging="1021"/>
        <w:spacing w:after="0" w:line="252" w:lineRule="auto"/>
        <w:tabs>
          <w:tab w:leader="none" w:pos="1000" w:val="left"/>
        </w:tabs>
        <w:rPr>
          <w:sz w:val="20"/>
          <w:szCs w:val="20"/>
          <w:color w:val="auto"/>
        </w:rPr>
      </w:pPr>
      <w:r>
        <w:rPr>
          <w:rFonts w:ascii="Times New Roman" w:cs="Times New Roman" w:eastAsia="Times New Roman" w:hAnsi="Times New Roman"/>
          <w:sz w:val="20"/>
          <w:szCs w:val="20"/>
          <w:color w:val="231F20"/>
        </w:rPr>
        <w:t>10.33</w:t>
      </w:r>
      <w:r>
        <w:rPr>
          <w:sz w:val="20"/>
          <w:szCs w:val="20"/>
          <w:color w:val="auto"/>
        </w:rPr>
        <w:tab/>
      </w:r>
      <w:r>
        <w:rPr>
          <w:rFonts w:ascii="Times New Roman" w:cs="Times New Roman" w:eastAsia="Times New Roman" w:hAnsi="Times New Roman"/>
          <w:sz w:val="20"/>
          <w:szCs w:val="20"/>
          <w:color w:val="231F20"/>
        </w:rPr>
        <w:t>First Lien Guaranty, dated March 4, 2021, by and among Petco Health and Wellness Company, Inc., as Borrower, the Guarantors from time to time party thereto, and Citibank, N.A., as Administrative Agent (incorporated by reference to Exhibit 10.32 of the Company’s Annual Report on Form 10-K for the fiscal year ended January 31, 2021)</w:t>
      </w:r>
    </w:p>
    <w:p>
      <w:pPr>
        <w:spacing w:after="0" w:line="69" w:lineRule="exact"/>
        <w:rPr>
          <w:sz w:val="20"/>
          <w:szCs w:val="20"/>
          <w:color w:val="auto"/>
        </w:rPr>
      </w:pPr>
    </w:p>
    <w:p>
      <w:pPr>
        <w:jc w:val="both"/>
        <w:ind w:left="1020" w:right="20" w:hanging="1021"/>
        <w:spacing w:after="0" w:line="252" w:lineRule="auto"/>
        <w:tabs>
          <w:tab w:leader="none" w:pos="1000" w:val="left"/>
        </w:tabs>
        <w:rPr>
          <w:sz w:val="20"/>
          <w:szCs w:val="20"/>
          <w:color w:val="auto"/>
        </w:rPr>
      </w:pPr>
      <w:r>
        <w:rPr>
          <w:rFonts w:ascii="Times New Roman" w:cs="Times New Roman" w:eastAsia="Times New Roman" w:hAnsi="Times New Roman"/>
          <w:sz w:val="20"/>
          <w:szCs w:val="20"/>
          <w:color w:val="231F20"/>
        </w:rPr>
        <w:t>10.34</w:t>
      </w:r>
      <w:r>
        <w:rPr>
          <w:sz w:val="20"/>
          <w:szCs w:val="20"/>
          <w:color w:val="auto"/>
        </w:rPr>
        <w:tab/>
      </w:r>
      <w:r>
        <w:rPr>
          <w:rFonts w:ascii="Times New Roman" w:cs="Times New Roman" w:eastAsia="Times New Roman" w:hAnsi="Times New Roman"/>
          <w:sz w:val="20"/>
          <w:szCs w:val="20"/>
          <w:color w:val="231F20"/>
        </w:rPr>
        <w:t>ABL Security Agreement, dated March 4, 2021, by and among Petco Health and Wellness Company, Inc., as Borrower, the Grantors from time to time party thereto, and Citibank, N.A., as Administrative Agent (incorporated by reference to Exhibit 10.33 of the Company’s Annual Report on Form 10-K for the fiscal year ended January 31, 2021)</w:t>
      </w:r>
    </w:p>
    <w:p>
      <w:pPr>
        <w:spacing w:after="0" w:line="69" w:lineRule="exact"/>
        <w:rPr>
          <w:sz w:val="20"/>
          <w:szCs w:val="20"/>
          <w:color w:val="auto"/>
        </w:rPr>
      </w:pPr>
    </w:p>
    <w:p>
      <w:pPr>
        <w:ind w:left="1020" w:hanging="1021"/>
        <w:spacing w:after="0" w:line="252" w:lineRule="auto"/>
        <w:tabs>
          <w:tab w:leader="none" w:pos="1000" w:val="left"/>
        </w:tabs>
        <w:rPr>
          <w:sz w:val="20"/>
          <w:szCs w:val="20"/>
          <w:color w:val="auto"/>
        </w:rPr>
      </w:pPr>
      <w:r>
        <w:rPr>
          <w:rFonts w:ascii="Times New Roman" w:cs="Times New Roman" w:eastAsia="Times New Roman" w:hAnsi="Times New Roman"/>
          <w:sz w:val="20"/>
          <w:szCs w:val="20"/>
          <w:color w:val="231F20"/>
        </w:rPr>
        <w:t>10.35</w:t>
      </w:r>
      <w:r>
        <w:rPr>
          <w:sz w:val="20"/>
          <w:szCs w:val="20"/>
          <w:color w:val="auto"/>
        </w:rPr>
        <w:tab/>
      </w:r>
      <w:r>
        <w:rPr>
          <w:rFonts w:ascii="Times New Roman" w:cs="Times New Roman" w:eastAsia="Times New Roman" w:hAnsi="Times New Roman"/>
          <w:sz w:val="20"/>
          <w:szCs w:val="20"/>
          <w:color w:val="231F20"/>
        </w:rPr>
        <w:t>First Lien Security Agreement, dated March 4, 2021, by and among Petco Health and Wellness Company, Inc., as Borrower, the Grantors from time to time party thereto, and Citibank, N.A., as Administrative Agent (incorporated by reference to Exhibit 10.34 of the Company’s Annual Report on Form 10-K for the fiscal year ended January 31, 2021)</w:t>
      </w:r>
    </w:p>
    <w:p>
      <w:pPr>
        <w:spacing w:after="0" w:line="69" w:lineRule="exact"/>
        <w:rPr>
          <w:sz w:val="20"/>
          <w:szCs w:val="20"/>
          <w:color w:val="auto"/>
        </w:rPr>
      </w:pPr>
    </w:p>
    <w:p>
      <w:pPr>
        <w:ind w:left="1020" w:right="100" w:hanging="1021"/>
        <w:spacing w:after="0" w:line="249" w:lineRule="auto"/>
        <w:tabs>
          <w:tab w:leader="none" w:pos="1000" w:val="left"/>
        </w:tabs>
        <w:rPr>
          <w:sz w:val="20"/>
          <w:szCs w:val="20"/>
          <w:color w:val="auto"/>
        </w:rPr>
      </w:pPr>
      <w:r>
        <w:rPr>
          <w:rFonts w:ascii="Times New Roman" w:cs="Times New Roman" w:eastAsia="Times New Roman" w:hAnsi="Times New Roman"/>
          <w:sz w:val="20"/>
          <w:szCs w:val="20"/>
          <w:color w:val="231F20"/>
        </w:rPr>
        <w:t>10.36</w:t>
      </w:r>
      <w:r>
        <w:rPr>
          <w:sz w:val="20"/>
          <w:szCs w:val="20"/>
          <w:color w:val="auto"/>
        </w:rPr>
        <w:tab/>
      </w:r>
      <w:r>
        <w:rPr>
          <w:rFonts w:ascii="Times New Roman" w:cs="Times New Roman" w:eastAsia="Times New Roman" w:hAnsi="Times New Roman"/>
          <w:sz w:val="20"/>
          <w:szCs w:val="20"/>
          <w:color w:val="231F20"/>
        </w:rPr>
        <w:t>Intercreditor Agreement, dated March 4, 2021, by and among Citibank, N.A., as Revolving Credit Collateral Agent, Citibank, N.A., as Initial Term Loan Collateral Agent, as acknowledged and agreed by Petco Health and Wellness Company, Inc., and the Grantors party thereto (incorporated by reference to Exhibit 10.35 of the Company’s Annual Report on Form 10-K for the fiscal year ended January 31, 2021)</w:t>
      </w:r>
    </w:p>
    <w:p>
      <w:pPr>
        <w:spacing w:after="0" w:line="95" w:lineRule="exact"/>
        <w:rPr>
          <w:sz w:val="20"/>
          <w:szCs w:val="20"/>
          <w:color w:val="auto"/>
        </w:rPr>
      </w:pPr>
    </w:p>
    <w:p>
      <w:pPr>
        <w:ind w:left="1020" w:right="120" w:hanging="1021"/>
        <w:spacing w:after="0" w:line="278" w:lineRule="auto"/>
        <w:tabs>
          <w:tab w:leader="none" w:pos="1000" w:val="left"/>
        </w:tabs>
        <w:rPr>
          <w:sz w:val="20"/>
          <w:szCs w:val="20"/>
          <w:color w:val="auto"/>
        </w:rPr>
      </w:pPr>
      <w:r>
        <w:rPr>
          <w:rFonts w:ascii="Times New Roman" w:cs="Times New Roman" w:eastAsia="Times New Roman" w:hAnsi="Times New Roman"/>
          <w:sz w:val="20"/>
          <w:szCs w:val="20"/>
          <w:color w:val="231F20"/>
        </w:rPr>
        <w:t>10.37†</w:t>
      </w:r>
      <w:r>
        <w:rPr>
          <w:sz w:val="20"/>
          <w:szCs w:val="20"/>
          <w:color w:val="auto"/>
        </w:rPr>
        <w:tab/>
      </w:r>
      <w:r>
        <w:rPr>
          <w:rFonts w:ascii="Times New Roman" w:cs="Times New Roman" w:eastAsia="Times New Roman" w:hAnsi="Times New Roman"/>
          <w:sz w:val="19"/>
          <w:szCs w:val="19"/>
          <w:color w:val="231F20"/>
        </w:rPr>
        <w:t>Transition Agreement, dated January 30, 2026 between Glenn Murphy and 1000891444 Ontario Inc., an indirect wholly owned subsidiary of Petco Health and Wellness Company, Inc. (incorporated by reference to Exhibit 10.1 of the Company's Current Report on Form 8-K, filed on February 2, 2026)</w:t>
      </w:r>
    </w:p>
    <w:p>
      <w:pPr>
        <w:spacing w:after="0" w:line="67" w:lineRule="exact"/>
        <w:rPr>
          <w:sz w:val="20"/>
          <w:szCs w:val="20"/>
          <w:color w:val="auto"/>
        </w:rPr>
      </w:pPr>
    </w:p>
    <w:p>
      <w:pPr>
        <w:ind w:left="1020" w:right="20" w:hanging="1021"/>
        <w:spacing w:after="0" w:line="244" w:lineRule="auto"/>
        <w:tabs>
          <w:tab w:leader="none" w:pos="1000" w:val="left"/>
        </w:tabs>
        <w:rPr>
          <w:sz w:val="20"/>
          <w:szCs w:val="20"/>
          <w:color w:val="auto"/>
        </w:rPr>
      </w:pPr>
      <w:r>
        <w:rPr>
          <w:rFonts w:ascii="Times New Roman" w:cs="Times New Roman" w:eastAsia="Times New Roman" w:hAnsi="Times New Roman"/>
          <w:sz w:val="20"/>
          <w:szCs w:val="20"/>
          <w:color w:val="231F20"/>
        </w:rPr>
        <w:t>10.38</w:t>
      </w:r>
      <w:r>
        <w:rPr>
          <w:sz w:val="20"/>
          <w:szCs w:val="20"/>
          <w:color w:val="auto"/>
        </w:rPr>
        <w:tab/>
      </w:r>
      <w:r>
        <w:rPr>
          <w:rFonts w:ascii="Times New Roman" w:cs="Times New Roman" w:eastAsia="Times New Roman" w:hAnsi="Times New Roman"/>
          <w:sz w:val="20"/>
          <w:szCs w:val="20"/>
          <w:color w:val="231F20"/>
        </w:rPr>
        <w:t>First Lien Credit Agreement, dated March 4, 2021, by and among Petco Health and Wellness Company, Inc., the Lenders party thereto, and Citibank, N.A., as Administrative Agent and Collateral Agent, as amended by the First Amendment to Credit Agreement, dated December 12, 2022, by and between Petco Health and Wellness Company, Inc. and Citibank, N.A., as administrative agent, and as further amended by the Second Amendment to Credit Agreement, dated as of February 2, 2026, among the Company, the guarantors party thereto, certain lenders party thereto and Citibank, N.A., as administrative agent (incorporated by reference to Exhibit 10.1 of the Company's Current Report on Form 8-K, filed on February 2, 2026)</w:t>
      </w:r>
    </w:p>
    <w:p>
      <w:pPr>
        <w:spacing w:after="0" w:line="10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231F20"/>
        </w:rPr>
        <w:t>10.39†*</w:t>
      </w:r>
      <w:r>
        <w:rPr>
          <w:sz w:val="20"/>
          <w:szCs w:val="20"/>
          <w:color w:val="auto"/>
        </w:rPr>
        <w:tab/>
      </w:r>
      <w:r>
        <w:rPr>
          <w:rFonts w:ascii="Times New Roman" w:cs="Times New Roman" w:eastAsia="Times New Roman" w:hAnsi="Times New Roman"/>
          <w:sz w:val="20"/>
          <w:szCs w:val="20"/>
          <w:color w:val="231F20"/>
        </w:rPr>
        <w:t>Offer Letter, dated April 9, 2024, between Holly May and Petco Health and Wellness Company, Inc</w:t>
      </w:r>
    </w:p>
    <w:p>
      <w:pPr>
        <w:spacing w:after="0" w:line="138" w:lineRule="exact"/>
        <w:rPr>
          <w:sz w:val="20"/>
          <w:szCs w:val="20"/>
          <w:color w:val="auto"/>
        </w:rPr>
      </w:pPr>
    </w:p>
    <w:p>
      <w:pPr>
        <w:ind w:left="1020" w:right="60" w:hanging="1021"/>
        <w:spacing w:after="0" w:line="277" w:lineRule="auto"/>
        <w:tabs>
          <w:tab w:leader="none" w:pos="1000" w:val="left"/>
        </w:tabs>
        <w:rPr>
          <w:sz w:val="20"/>
          <w:szCs w:val="20"/>
          <w:color w:val="auto"/>
        </w:rPr>
      </w:pPr>
      <w:r>
        <w:rPr>
          <w:rFonts w:ascii="Times New Roman" w:cs="Times New Roman" w:eastAsia="Times New Roman" w:hAnsi="Times New Roman"/>
          <w:sz w:val="20"/>
          <w:szCs w:val="20"/>
          <w:color w:val="231F20"/>
        </w:rPr>
        <w:t>10.40†*</w:t>
      </w:r>
      <w:r>
        <w:rPr>
          <w:sz w:val="20"/>
          <w:szCs w:val="20"/>
          <w:color w:val="auto"/>
        </w:rPr>
        <w:tab/>
      </w:r>
      <w:r>
        <w:rPr>
          <w:rFonts w:ascii="Times New Roman" w:cs="Times New Roman" w:eastAsia="Times New Roman" w:hAnsi="Times New Roman"/>
          <w:sz w:val="20"/>
          <w:szCs w:val="20"/>
          <w:color w:val="231F20"/>
        </w:rPr>
        <w:t>Offer Letter, dated October 24, 2024, between Patrick Joseph Venezia and Petco Health and Wellness Company, Inc</w:t>
      </w:r>
    </w:p>
    <w:p>
      <w:pPr>
        <w:spacing w:after="0" w:line="67" w:lineRule="exact"/>
        <w:rPr>
          <w:sz w:val="20"/>
          <w:szCs w:val="20"/>
          <w:color w:val="auto"/>
        </w:rPr>
      </w:pPr>
    </w:p>
    <w:p>
      <w:pPr>
        <w:ind w:left="1020" w:right="380" w:hanging="1021"/>
        <w:spacing w:after="0" w:line="277" w:lineRule="auto"/>
        <w:tabs>
          <w:tab w:leader="none" w:pos="1000" w:val="left"/>
        </w:tabs>
        <w:rPr>
          <w:sz w:val="20"/>
          <w:szCs w:val="20"/>
          <w:color w:val="auto"/>
        </w:rPr>
      </w:pPr>
      <w:r>
        <w:rPr>
          <w:rFonts w:ascii="Times New Roman" w:cs="Times New Roman" w:eastAsia="Times New Roman" w:hAnsi="Times New Roman"/>
          <w:sz w:val="20"/>
          <w:szCs w:val="20"/>
          <w:color w:val="231F20"/>
        </w:rPr>
        <w:t>10.41†*</w:t>
      </w:r>
      <w:r>
        <w:rPr>
          <w:sz w:val="20"/>
          <w:szCs w:val="20"/>
          <w:color w:val="auto"/>
        </w:rPr>
        <w:tab/>
      </w:r>
      <w:r>
        <w:rPr>
          <w:rFonts w:ascii="Times New Roman" w:cs="Times New Roman" w:eastAsia="Times New Roman" w:hAnsi="Times New Roman"/>
          <w:sz w:val="20"/>
          <w:szCs w:val="20"/>
          <w:color w:val="231F20"/>
        </w:rPr>
        <w:t>Form of Restricted Stock Unit Award Grant Notice and Standard Terms and Conditions under the Petco Health and Wellness Company, Inc. 2021 Equity Incentive Plan (2026 Executive Form)</w:t>
      </w:r>
    </w:p>
    <w:p>
      <w:pPr>
        <w:spacing w:after="0" w:line="67" w:lineRule="exact"/>
        <w:rPr>
          <w:sz w:val="20"/>
          <w:szCs w:val="20"/>
          <w:color w:val="auto"/>
        </w:rPr>
      </w:pPr>
    </w:p>
    <w:p>
      <w:pPr>
        <w:ind w:left="1020" w:right="380" w:hanging="1021"/>
        <w:spacing w:after="0" w:line="277" w:lineRule="auto"/>
        <w:tabs>
          <w:tab w:leader="none" w:pos="1000" w:val="left"/>
        </w:tabs>
        <w:rPr>
          <w:sz w:val="20"/>
          <w:szCs w:val="20"/>
          <w:color w:val="auto"/>
        </w:rPr>
      </w:pPr>
      <w:r>
        <w:rPr>
          <w:rFonts w:ascii="Times New Roman" w:cs="Times New Roman" w:eastAsia="Times New Roman" w:hAnsi="Times New Roman"/>
          <w:sz w:val="20"/>
          <w:szCs w:val="20"/>
          <w:color w:val="231F20"/>
        </w:rPr>
        <w:t>10.42†*</w:t>
      </w:r>
      <w:r>
        <w:rPr>
          <w:sz w:val="20"/>
          <w:szCs w:val="20"/>
          <w:color w:val="auto"/>
        </w:rPr>
        <w:tab/>
      </w:r>
      <w:r>
        <w:rPr>
          <w:rFonts w:ascii="Times New Roman" w:cs="Times New Roman" w:eastAsia="Times New Roman" w:hAnsi="Times New Roman"/>
          <w:sz w:val="20"/>
          <w:szCs w:val="20"/>
          <w:color w:val="231F20"/>
        </w:rPr>
        <w:t>Form of Restricted Stock Unit Award Grant Notice and Standard Terms and Conditions under the Petco Health and Wellness Company, Inc. 2021 Equity Incentive Plan (2026 CEO Form)</w:t>
      </w:r>
    </w:p>
    <w:p>
      <w:pPr>
        <w:spacing w:after="0" w:line="67" w:lineRule="exact"/>
        <w:rPr>
          <w:sz w:val="20"/>
          <w:szCs w:val="20"/>
          <w:color w:val="auto"/>
        </w:rPr>
      </w:pPr>
    </w:p>
    <w:p>
      <w:pPr>
        <w:ind w:left="1020" w:right="240" w:hanging="1021"/>
        <w:spacing w:after="0" w:line="277" w:lineRule="auto"/>
        <w:tabs>
          <w:tab w:leader="none" w:pos="1000" w:val="left"/>
        </w:tabs>
        <w:rPr>
          <w:sz w:val="20"/>
          <w:szCs w:val="20"/>
          <w:color w:val="auto"/>
        </w:rPr>
      </w:pPr>
      <w:r>
        <w:rPr>
          <w:rFonts w:ascii="Times New Roman" w:cs="Times New Roman" w:eastAsia="Times New Roman" w:hAnsi="Times New Roman"/>
          <w:sz w:val="20"/>
          <w:szCs w:val="20"/>
          <w:color w:val="231F20"/>
        </w:rPr>
        <w:t>10.43†*</w:t>
      </w:r>
      <w:r>
        <w:rPr>
          <w:sz w:val="20"/>
          <w:szCs w:val="20"/>
          <w:color w:val="auto"/>
        </w:rPr>
        <w:tab/>
      </w:r>
      <w:r>
        <w:rPr>
          <w:rFonts w:ascii="Times New Roman" w:cs="Times New Roman" w:eastAsia="Times New Roman" w:hAnsi="Times New Roman"/>
          <w:sz w:val="20"/>
          <w:szCs w:val="20"/>
          <w:color w:val="231F20"/>
        </w:rPr>
        <w:t>Form of Performance Stock Unit Award Grant Notice and Standard terms and Conditions under the Petco Health and Wellness Company, Inc. 2021 Equity Incentive Plan (2026 Executive Form)</w:t>
      </w:r>
    </w:p>
    <w:p>
      <w:pPr>
        <w:spacing w:after="0" w:line="67" w:lineRule="exact"/>
        <w:rPr>
          <w:sz w:val="20"/>
          <w:szCs w:val="20"/>
          <w:color w:val="auto"/>
        </w:rPr>
      </w:pPr>
    </w:p>
    <w:p>
      <w:pPr>
        <w:ind w:left="1020" w:right="40" w:hanging="1021"/>
        <w:spacing w:after="0" w:line="277" w:lineRule="auto"/>
        <w:tabs>
          <w:tab w:leader="none" w:pos="1000" w:val="left"/>
        </w:tabs>
        <w:rPr>
          <w:sz w:val="20"/>
          <w:szCs w:val="20"/>
          <w:color w:val="auto"/>
        </w:rPr>
      </w:pPr>
      <w:r>
        <w:rPr>
          <w:rFonts w:ascii="Times New Roman" w:cs="Times New Roman" w:eastAsia="Times New Roman" w:hAnsi="Times New Roman"/>
          <w:sz w:val="20"/>
          <w:szCs w:val="20"/>
          <w:color w:val="231F20"/>
        </w:rPr>
        <w:t>19.1</w:t>
      </w:r>
      <w:r>
        <w:rPr>
          <w:sz w:val="20"/>
          <w:szCs w:val="20"/>
          <w:color w:val="auto"/>
        </w:rPr>
        <w:tab/>
      </w:r>
      <w:r>
        <w:rPr>
          <w:rFonts w:ascii="Times New Roman" w:cs="Times New Roman" w:eastAsia="Times New Roman" w:hAnsi="Times New Roman"/>
          <w:sz w:val="20"/>
          <w:szCs w:val="20"/>
          <w:color w:val="231F20"/>
        </w:rPr>
        <w:t>Insider Trading Policy (incorporated by reference to Exhibit 19.1 of the Company’s Annual Report on Form 10-K for the fiscal year ended February 1, 2025)</w:t>
      </w:r>
    </w:p>
    <w:p>
      <w:pPr>
        <w:sectPr>
          <w:pgSz w:w="11880" w:h="15480" w:orient="portrait"/>
          <w:cols w:equalWidth="0" w:num="1">
            <w:col w:w="9240"/>
          </w:cols>
          <w:pgMar w:left="1360" w:top="1240" w:right="1280"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231F20"/>
        </w:rPr>
        <w:t>104</w:t>
      </w:r>
    </w:p>
    <w:p>
      <w:pPr>
        <w:sectPr>
          <w:pgSz w:w="11880" w:h="15480" w:orient="portrait"/>
          <w:cols w:equalWidth="0" w:num="1">
            <w:col w:w="9240"/>
          </w:cols>
          <w:pgMar w:left="1360" w:top="1240" w:right="1280" w:bottom="0" w:gutter="0" w:footer="0" w:header="0"/>
          <w:type w:val="continuous"/>
        </w:sectPr>
      </w:pPr>
    </w:p>
    <w:bookmarkStart w:id="114" w:name="page115"/>
    <w:bookmarkEnd w:id="114"/>
    <w:tbl>
      <w:tblPr>
        <w:tblLayout w:type="fixed"/>
        <w:tblInd w:w="10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21.1</w:t>
            </w:r>
          </w:p>
        </w:tc>
        <w:tc>
          <w:tcPr>
            <w:tcW w:w="83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List of Subsidiaries (incorporated by reference to Exhibit 21.1 of the Company’s Registration</w:t>
            </w:r>
          </w:p>
        </w:tc>
      </w:tr>
      <w:tr>
        <w:trPr>
          <w:trHeight w:val="266"/>
        </w:trPr>
        <w:tc>
          <w:tcPr>
            <w:tcW w:w="780" w:type="dxa"/>
            <w:vAlign w:val="bottom"/>
          </w:tcPr>
          <w:p>
            <w:pPr>
              <w:spacing w:after="0"/>
              <w:rPr>
                <w:sz w:val="23"/>
                <w:szCs w:val="23"/>
                <w:color w:val="auto"/>
              </w:rPr>
            </w:pPr>
          </w:p>
        </w:tc>
        <w:tc>
          <w:tcPr>
            <w:tcW w:w="83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Statement on Form S-1, filed on December 3, 2020)</w:t>
            </w:r>
          </w:p>
        </w:tc>
      </w:tr>
      <w:tr>
        <w:trPr>
          <w:trHeight w:val="345"/>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23*</w:t>
            </w:r>
          </w:p>
        </w:tc>
        <w:tc>
          <w:tcPr>
            <w:tcW w:w="83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Consent of Independent Registered Public Accounting Firm</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31.1*</w:t>
            </w:r>
          </w:p>
        </w:tc>
        <w:tc>
          <w:tcPr>
            <w:tcW w:w="83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Certification of Principal Executive Officer Pursuant to Rules 13a-14(a) and 15d-14(a) under the</w:t>
            </w:r>
          </w:p>
        </w:tc>
      </w:tr>
      <w:tr>
        <w:trPr>
          <w:trHeight w:val="230"/>
        </w:trPr>
        <w:tc>
          <w:tcPr>
            <w:tcW w:w="78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Securities Exchange Act of 1934, as Adopted Pursuant to Section 302 of the Sarbanes-Oxley Act of</w:t>
            </w:r>
          </w:p>
        </w:tc>
      </w:tr>
      <w:tr>
        <w:trPr>
          <w:trHeight w:val="266"/>
        </w:trPr>
        <w:tc>
          <w:tcPr>
            <w:tcW w:w="780" w:type="dxa"/>
            <w:vAlign w:val="bottom"/>
          </w:tcPr>
          <w:p>
            <w:pPr>
              <w:spacing w:after="0"/>
              <w:rPr>
                <w:sz w:val="23"/>
                <w:szCs w:val="23"/>
                <w:color w:val="auto"/>
              </w:rPr>
            </w:pPr>
          </w:p>
        </w:tc>
        <w:tc>
          <w:tcPr>
            <w:tcW w:w="83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2002</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31.2*</w:t>
            </w:r>
          </w:p>
        </w:tc>
        <w:tc>
          <w:tcPr>
            <w:tcW w:w="83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Certification of Principal Financial Officer Pursuant to Rules 13a-14(a) and 15d-14(a) under the</w:t>
            </w:r>
          </w:p>
        </w:tc>
      </w:tr>
      <w:tr>
        <w:trPr>
          <w:trHeight w:val="230"/>
        </w:trPr>
        <w:tc>
          <w:tcPr>
            <w:tcW w:w="78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Securities Exchange Act of 1934, as Adopted Pursuant to Section 302 of the Sarbanes-Oxley Act of</w:t>
            </w:r>
          </w:p>
        </w:tc>
      </w:tr>
      <w:tr>
        <w:trPr>
          <w:trHeight w:val="266"/>
        </w:trPr>
        <w:tc>
          <w:tcPr>
            <w:tcW w:w="780" w:type="dxa"/>
            <w:vAlign w:val="bottom"/>
          </w:tcPr>
          <w:p>
            <w:pPr>
              <w:spacing w:after="0"/>
              <w:rPr>
                <w:sz w:val="23"/>
                <w:szCs w:val="23"/>
                <w:color w:val="auto"/>
              </w:rPr>
            </w:pPr>
          </w:p>
        </w:tc>
        <w:tc>
          <w:tcPr>
            <w:tcW w:w="83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2002</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32.1**</w:t>
            </w:r>
          </w:p>
        </w:tc>
        <w:tc>
          <w:tcPr>
            <w:tcW w:w="8380" w:type="dxa"/>
            <w:vAlign w:val="bottom"/>
          </w:tcPr>
          <w:p>
            <w:pPr>
              <w:ind w:left="240"/>
              <w:spacing w:after="0"/>
              <w:rPr>
                <w:sz w:val="20"/>
                <w:szCs w:val="20"/>
                <w:color w:val="auto"/>
              </w:rPr>
            </w:pPr>
            <w:r>
              <w:rPr>
                <w:rFonts w:ascii="Times New Roman" w:cs="Times New Roman" w:eastAsia="Times New Roman" w:hAnsi="Times New Roman"/>
                <w:sz w:val="20"/>
                <w:szCs w:val="20"/>
                <w:color w:val="231F20"/>
                <w:w w:val="99"/>
              </w:rPr>
              <w:t>Certification of Principal Executive Officer Pursuant to 18 U.S.C. Section 1350, as Adopted Pursuant</w:t>
            </w:r>
          </w:p>
        </w:tc>
      </w:tr>
      <w:tr>
        <w:trPr>
          <w:trHeight w:val="266"/>
        </w:trPr>
        <w:tc>
          <w:tcPr>
            <w:tcW w:w="780" w:type="dxa"/>
            <w:vAlign w:val="bottom"/>
          </w:tcPr>
          <w:p>
            <w:pPr>
              <w:spacing w:after="0"/>
              <w:rPr>
                <w:sz w:val="23"/>
                <w:szCs w:val="23"/>
                <w:color w:val="auto"/>
              </w:rPr>
            </w:pPr>
          </w:p>
        </w:tc>
        <w:tc>
          <w:tcPr>
            <w:tcW w:w="83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to Section 906 of the Sarbanes-Oxley Act of 2002</w:t>
            </w:r>
          </w:p>
        </w:tc>
      </w:tr>
      <w:tr>
        <w:trPr>
          <w:trHeight w:val="332"/>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231F20"/>
              </w:rPr>
              <w:t>32.2**</w:t>
            </w:r>
          </w:p>
        </w:tc>
        <w:tc>
          <w:tcPr>
            <w:tcW w:w="83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Certification of Principal Financial Officer Pursuant to 18 U.S.C. Section 1350, as Adopted Pursuant</w:t>
            </w:r>
          </w:p>
        </w:tc>
      </w:tr>
      <w:tr>
        <w:trPr>
          <w:trHeight w:val="266"/>
        </w:trPr>
        <w:tc>
          <w:tcPr>
            <w:tcW w:w="780" w:type="dxa"/>
            <w:vAlign w:val="bottom"/>
          </w:tcPr>
          <w:p>
            <w:pPr>
              <w:spacing w:after="0"/>
              <w:rPr>
                <w:sz w:val="23"/>
                <w:szCs w:val="23"/>
                <w:color w:val="auto"/>
              </w:rPr>
            </w:pPr>
          </w:p>
        </w:tc>
        <w:tc>
          <w:tcPr>
            <w:tcW w:w="8380" w:type="dxa"/>
            <w:vAlign w:val="bottom"/>
          </w:tcPr>
          <w:p>
            <w:pPr>
              <w:ind w:left="240"/>
              <w:spacing w:after="0"/>
              <w:rPr>
                <w:sz w:val="20"/>
                <w:szCs w:val="20"/>
                <w:color w:val="auto"/>
              </w:rPr>
            </w:pPr>
            <w:r>
              <w:rPr>
                <w:rFonts w:ascii="Times New Roman" w:cs="Times New Roman" w:eastAsia="Times New Roman" w:hAnsi="Times New Roman"/>
                <w:sz w:val="20"/>
                <w:szCs w:val="20"/>
                <w:color w:val="231F20"/>
              </w:rPr>
              <w:t>to Section 906 of the Sarbanes-Oxley Act of 2002</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800100</wp:posOffset>
            </wp:positionH>
            <wp:positionV relativeFrom="page">
              <wp:posOffset>800100</wp:posOffset>
            </wp:positionV>
            <wp:extent cx="5943600" cy="33737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6">
                      <a:extLst>
                        <a:ext uri="{28A0092B-C50C-407E-A947-70E740481C1C}"/>
                      </a:extLst>
                    </a:blip>
                    <a:srcRect/>
                    <a:stretch>
                      <a:fillRect/>
                    </a:stretch>
                  </pic:blipFill>
                  <pic:spPr bwMode="auto">
                    <a:xfrm>
                      <a:off x="0" y="0"/>
                      <a:ext cx="5943600" cy="3373755"/>
                    </a:xfrm>
                    <a:prstGeom prst="rect">
                      <a:avLst/>
                    </a:prstGeom>
                    <a:noFill/>
                  </pic:spPr>
                </pic:pic>
              </a:graphicData>
            </a:graphic>
          </wp:anchor>
        </w:drawing>
      </w:r>
    </w:p>
    <w:p>
      <w:pPr>
        <w:ind w:left="1120" w:right="60" w:hanging="1019"/>
        <w:spacing w:after="0" w:line="254" w:lineRule="auto"/>
        <w:tabs>
          <w:tab w:leader="none" w:pos="1120" w:val="left"/>
        </w:tabs>
        <w:numPr>
          <w:ilvl w:val="0"/>
          <w:numId w:val="4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Clawback Policy (incorporated by reference to Exhibit 97 of the Company’s Annual Report on Form 10-K for the fiscal year ended February 3, 2024)</w:t>
      </w:r>
    </w:p>
    <w:tbl>
      <w:tblPr>
        <w:tblLayout w:type="fixed"/>
        <w:tblInd w:w="100" w:type="dxa"/>
        <w:tblCellMar>
          <w:top w:w="0" w:type="dxa"/>
          <w:left w:w="0" w:type="dxa"/>
          <w:bottom w:w="0" w:type="dxa"/>
          <w:right w:w="0" w:type="dxa"/>
        </w:tblCellMar>
      </w:tblPr>
      <w:tr>
        <w:trPr>
          <w:trHeight w:val="203"/>
        </w:trPr>
        <w:tc>
          <w:tcPr>
            <w:tcW w:w="880" w:type="dxa"/>
            <w:vAlign w:val="bottom"/>
          </w:tcPr>
          <w:p>
            <w:pPr>
              <w:spacing w:after="0" w:line="204" w:lineRule="exact"/>
              <w:rPr>
                <w:sz w:val="20"/>
                <w:szCs w:val="20"/>
                <w:color w:val="auto"/>
              </w:rPr>
            </w:pPr>
            <w:r>
              <w:rPr>
                <w:rFonts w:ascii="Times New Roman" w:cs="Times New Roman" w:eastAsia="Times New Roman" w:hAnsi="Times New Roman"/>
                <w:sz w:val="20"/>
                <w:szCs w:val="20"/>
                <w:color w:val="231F20"/>
              </w:rPr>
              <w:t>101.INS</w:t>
            </w:r>
          </w:p>
        </w:tc>
        <w:tc>
          <w:tcPr>
            <w:tcW w:w="8240" w:type="dxa"/>
            <w:vAlign w:val="bottom"/>
          </w:tcPr>
          <w:p>
            <w:pPr>
              <w:ind w:left="140"/>
              <w:spacing w:after="0" w:line="204" w:lineRule="exact"/>
              <w:rPr>
                <w:sz w:val="20"/>
                <w:szCs w:val="20"/>
                <w:color w:val="auto"/>
              </w:rPr>
            </w:pPr>
            <w:r>
              <w:rPr>
                <w:rFonts w:ascii="Times New Roman" w:cs="Times New Roman" w:eastAsia="Times New Roman" w:hAnsi="Times New Roman"/>
                <w:sz w:val="20"/>
                <w:szCs w:val="20"/>
                <w:color w:val="231F20"/>
                <w:w w:val="99"/>
              </w:rPr>
              <w:t>Inline XBRL Instance Document - the instance document does not appear in the Interactive Data File</w:t>
            </w:r>
          </w:p>
        </w:tc>
      </w:tr>
      <w:tr>
        <w:trPr>
          <w:trHeight w:val="230"/>
        </w:trPr>
        <w:tc>
          <w:tcPr>
            <w:tcW w:w="880" w:type="dxa"/>
            <w:vAlign w:val="bottom"/>
          </w:tcPr>
          <w:p>
            <w:pPr>
              <w:spacing w:after="0"/>
              <w:rPr>
                <w:sz w:val="20"/>
                <w:szCs w:val="20"/>
                <w:color w:val="auto"/>
              </w:rPr>
            </w:pPr>
          </w:p>
        </w:tc>
        <w:tc>
          <w:tcPr>
            <w:tcW w:w="824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because its XBRL tags are embedded within the Inline XBRL document</w:t>
            </w:r>
          </w:p>
        </w:tc>
      </w:tr>
      <w:tr>
        <w:trPr>
          <w:trHeight w:val="258"/>
        </w:trPr>
        <w:tc>
          <w:tcPr>
            <w:tcW w:w="880" w:type="dxa"/>
            <w:vAlign w:val="bottom"/>
          </w:tcPr>
          <w:p>
            <w:pPr>
              <w:spacing w:after="0"/>
              <w:rPr>
                <w:sz w:val="20"/>
                <w:szCs w:val="20"/>
                <w:color w:val="auto"/>
              </w:rPr>
            </w:pPr>
            <w:r>
              <w:rPr>
                <w:rFonts w:ascii="Times New Roman" w:cs="Times New Roman" w:eastAsia="Times New Roman" w:hAnsi="Times New Roman"/>
                <w:sz w:val="20"/>
                <w:szCs w:val="20"/>
                <w:color w:val="231F20"/>
              </w:rPr>
              <w:t>101.SCH</w:t>
            </w:r>
          </w:p>
        </w:tc>
        <w:tc>
          <w:tcPr>
            <w:tcW w:w="82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Inline XBRL Taxonomy Extension Schema With Embedded Linkbase Documents</w:t>
            </w:r>
          </w:p>
        </w:tc>
      </w:tr>
    </w:tbl>
    <w:p>
      <w:pPr>
        <w:ind w:left="1120" w:hanging="1019"/>
        <w:spacing w:after="0"/>
        <w:tabs>
          <w:tab w:leader="none" w:pos="1120" w:val="left"/>
        </w:tabs>
        <w:numPr>
          <w:ilvl w:val="1"/>
          <w:numId w:val="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Cover Page Interactive Data File (formatted as Inline XBRL and contained in Exhibit 101)</w:t>
      </w:r>
    </w:p>
    <w:p>
      <w:pPr>
        <w:spacing w:after="0" w:line="134" w:lineRule="exact"/>
        <w:rPr>
          <w:rFonts w:ascii="Times New Roman" w:cs="Times New Roman" w:eastAsia="Times New Roman" w:hAnsi="Times New Roman"/>
          <w:sz w:val="20"/>
          <w:szCs w:val="20"/>
          <w:color w:val="231F20"/>
        </w:rPr>
      </w:pPr>
    </w:p>
    <w:p>
      <w:pPr>
        <w:ind w:left="160" w:hanging="160"/>
        <w:spacing w:after="0"/>
        <w:tabs>
          <w:tab w:leader="none" w:pos="160" w:val="left"/>
        </w:tabs>
        <w:numPr>
          <w:ilvl w:val="0"/>
          <w:numId w:val="42"/>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Filed herewith.</w:t>
      </w:r>
    </w:p>
    <w:p>
      <w:pPr>
        <w:spacing w:after="0" w:line="40" w:lineRule="exact"/>
        <w:rPr>
          <w:rFonts w:ascii="Times New Roman" w:cs="Times New Roman" w:eastAsia="Times New Roman" w:hAnsi="Times New Roman"/>
          <w:sz w:val="20"/>
          <w:szCs w:val="20"/>
          <w:color w:val="231F20"/>
        </w:rPr>
      </w:pPr>
    </w:p>
    <w:p>
      <w:pPr>
        <w:ind w:right="20"/>
        <w:spacing w:after="0" w:line="253" w:lineRule="auto"/>
        <w:tabs>
          <w:tab w:leader="none" w:pos="250" w:val="left"/>
        </w:tabs>
        <w:numPr>
          <w:ilvl w:val="0"/>
          <w:numId w:val="43"/>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line="2" w:lineRule="exact"/>
        <w:rPr>
          <w:rFonts w:ascii="Times New Roman" w:cs="Times New Roman" w:eastAsia="Times New Roman" w:hAnsi="Times New Roman"/>
          <w:sz w:val="20"/>
          <w:szCs w:val="20"/>
          <w:color w:val="231F20"/>
        </w:rPr>
      </w:pPr>
    </w:p>
    <w:p>
      <w:pPr>
        <w:spacing w:after="0"/>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 Management contract or compensatory plan or arrangement.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-796925</wp:posOffset>
                </wp:positionV>
                <wp:extent cx="91440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2.7499pt" to="72pt,-62.7499pt" o:allowincell="f" strokecolor="#231F20" strokeweight="0.5pt"/>
            </w:pict>
          </mc:Fallback>
        </mc:AlternateConten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9260"/>
          </w:cols>
          <w:pgMar w:left="1260" w:top="1378"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231F20"/>
        </w:rPr>
        <w:t>105</w:t>
      </w:r>
    </w:p>
    <w:p>
      <w:pPr>
        <w:sectPr>
          <w:pgSz w:w="11880" w:h="15480" w:orient="portrait"/>
          <w:cols w:equalWidth="0" w:num="1">
            <w:col w:w="9260"/>
          </w:cols>
          <w:pgMar w:left="1260" w:top="1378" w:right="1360" w:bottom="0"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244" w:lineRule="exact"/>
        <w:rPr>
          <w:sz w:val="20"/>
          <w:szCs w:val="20"/>
          <w:color w:val="auto"/>
        </w:rPr>
      </w:pPr>
    </w:p>
    <w:p>
      <w:pPr>
        <w:ind w:right="180" w:firstLine="490"/>
        <w:spacing w:after="0" w:line="281"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231F20"/>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40" w:type="dxa"/>
            <w:vAlign w:val="bottom"/>
          </w:tcPr>
          <w:p>
            <w:pPr>
              <w:spacing w:after="0"/>
              <w:rPr>
                <w:sz w:val="23"/>
                <w:szCs w:val="23"/>
                <w:color w:val="auto"/>
              </w:rPr>
            </w:pPr>
          </w:p>
        </w:tc>
        <w:tc>
          <w:tcPr>
            <w:tcW w:w="6320" w:type="dxa"/>
            <w:vAlign w:val="bottom"/>
            <w:gridSpan w:val="2"/>
          </w:tcPr>
          <w:p>
            <w:pPr>
              <w:ind w:left="1660"/>
              <w:spacing w:after="0"/>
              <w:rPr>
                <w:sz w:val="20"/>
                <w:szCs w:val="20"/>
                <w:color w:val="auto"/>
              </w:rPr>
            </w:pPr>
            <w:r>
              <w:rPr>
                <w:rFonts w:ascii="Times New Roman" w:cs="Times New Roman" w:eastAsia="Times New Roman" w:hAnsi="Times New Roman"/>
                <w:sz w:val="20"/>
                <w:szCs w:val="20"/>
                <w:b w:val="1"/>
                <w:bCs w:val="1"/>
                <w:color w:val="231F20"/>
              </w:rPr>
              <w:t>Petco Health and Wellness Company, Inc.</w:t>
            </w:r>
          </w:p>
        </w:tc>
      </w:tr>
      <w:tr>
        <w:trPr>
          <w:trHeight w:val="469"/>
        </w:trPr>
        <w:tc>
          <w:tcPr>
            <w:tcW w:w="3040" w:type="dxa"/>
            <w:vAlign w:val="bottom"/>
          </w:tcPr>
          <w:p>
            <w:pPr>
              <w:spacing w:after="0"/>
              <w:rPr>
                <w:sz w:val="20"/>
                <w:szCs w:val="20"/>
                <w:color w:val="auto"/>
              </w:rPr>
            </w:pPr>
            <w:r>
              <w:rPr>
                <w:rFonts w:ascii="Times New Roman" w:cs="Times New Roman" w:eastAsia="Times New Roman" w:hAnsi="Times New Roman"/>
                <w:sz w:val="20"/>
                <w:szCs w:val="20"/>
                <w:color w:val="231F20"/>
              </w:rPr>
              <w:t>Date: March 13, 2026</w:t>
            </w:r>
          </w:p>
        </w:tc>
        <w:tc>
          <w:tcPr>
            <w:tcW w:w="6320" w:type="dxa"/>
            <w:vAlign w:val="bottom"/>
            <w:gridSpan w:val="2"/>
          </w:tcPr>
          <w:p>
            <w:pPr>
              <w:ind w:left="1260"/>
              <w:spacing w:after="0"/>
              <w:rPr>
                <w:sz w:val="20"/>
                <w:szCs w:val="20"/>
                <w:color w:val="auto"/>
              </w:rPr>
            </w:pPr>
            <w:r>
              <w:rPr>
                <w:rFonts w:ascii="Times New Roman" w:cs="Times New Roman" w:eastAsia="Times New Roman" w:hAnsi="Times New Roman"/>
                <w:sz w:val="20"/>
                <w:szCs w:val="20"/>
                <w:color w:val="231F20"/>
              </w:rPr>
              <w:t>By:  /s/ Joel D. Anderson</w:t>
            </w:r>
          </w:p>
        </w:tc>
      </w:tr>
      <w:tr>
        <w:trPr>
          <w:trHeight w:val="226"/>
        </w:trPr>
        <w:tc>
          <w:tcPr>
            <w:tcW w:w="30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580" w:type="dxa"/>
            <w:vAlign w:val="bottom"/>
            <w:tcBorders>
              <w:top w:val="single" w:sz="8" w:color="231F20"/>
            </w:tcBorders>
          </w:tcPr>
          <w:p>
            <w:pPr>
              <w:spacing w:after="0" w:line="226" w:lineRule="exact"/>
              <w:rPr>
                <w:sz w:val="20"/>
                <w:szCs w:val="20"/>
                <w:color w:val="auto"/>
              </w:rPr>
            </w:pPr>
            <w:r>
              <w:rPr>
                <w:rFonts w:ascii="Times New Roman" w:cs="Times New Roman" w:eastAsia="Times New Roman" w:hAnsi="Times New Roman"/>
                <w:sz w:val="20"/>
                <w:szCs w:val="20"/>
                <w:color w:val="231F20"/>
              </w:rPr>
              <w:t>Joel D. Anderson</w:t>
            </w:r>
          </w:p>
        </w:tc>
      </w:tr>
      <w:tr>
        <w:trPr>
          <w:trHeight w:val="266"/>
        </w:trPr>
        <w:tc>
          <w:tcPr>
            <w:tcW w:w="30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20"/>
                <w:szCs w:val="20"/>
                <w:color w:val="231F20"/>
              </w:rPr>
              <w:t>Chief Executive Officer</w:t>
            </w:r>
          </w:p>
        </w:tc>
      </w:tr>
    </w:tbl>
    <w:p>
      <w:pPr>
        <w:spacing w:after="0" w:line="280"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as amended, this Report has been signed below by the following persons on behalf of the Registrant in the capacities and on the dates indicated.</w:t>
      </w:r>
    </w:p>
    <w:p>
      <w:pPr>
        <w:sectPr>
          <w:pgSz w:w="11880" w:h="15480" w:orient="portrait"/>
          <w:cols w:equalWidth="0" w:num="1">
            <w:col w:w="9360"/>
          </w:cols>
          <w:pgMar w:left="1260" w:top="1236" w:right="1260" w:bottom="0" w:gutter="0" w:footer="0" w:header="0"/>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40" w:type="dxa"/>
            <w:vAlign w:val="bottom"/>
            <w:tcBorders>
              <w:bottom w:val="single" w:sz="8" w:color="231F20"/>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231F20"/>
                <w:w w:val="98"/>
              </w:rPr>
              <w:t>Signature</w:t>
            </w:r>
          </w:p>
        </w:tc>
        <w:tc>
          <w:tcPr>
            <w:tcW w:w="80" w:type="dxa"/>
            <w:vAlign w:val="bottom"/>
          </w:tcPr>
          <w:p>
            <w:pPr>
              <w:spacing w:after="0"/>
              <w:rPr>
                <w:sz w:val="17"/>
                <w:szCs w:val="17"/>
                <w:color w:val="auto"/>
              </w:rPr>
            </w:pPr>
          </w:p>
        </w:tc>
        <w:tc>
          <w:tcPr>
            <w:tcW w:w="43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Title</w:t>
            </w:r>
          </w:p>
        </w:tc>
        <w:tc>
          <w:tcPr>
            <w:tcW w:w="0" w:type="dxa"/>
            <w:vAlign w:val="bottom"/>
          </w:tcPr>
          <w:p>
            <w:pPr>
              <w:spacing w:after="0"/>
              <w:rPr>
                <w:sz w:val="1"/>
                <w:szCs w:val="1"/>
                <w:color w:val="auto"/>
              </w:rPr>
            </w:pPr>
          </w:p>
        </w:tc>
      </w:tr>
      <w:tr>
        <w:trPr>
          <w:trHeight w:val="364"/>
        </w:trPr>
        <w:tc>
          <w:tcPr>
            <w:tcW w:w="244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20"/>
                <w:szCs w:val="20"/>
                <w:color w:val="231F20"/>
              </w:rPr>
              <w:t>/s/ Joel D. Anderson</w:t>
            </w:r>
          </w:p>
        </w:tc>
        <w:tc>
          <w:tcPr>
            <w:tcW w:w="8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Chief Executive Officer and Director</w:t>
            </w:r>
          </w:p>
        </w:tc>
        <w:tc>
          <w:tcPr>
            <w:tcW w:w="0" w:type="dxa"/>
            <w:vAlign w:val="bottom"/>
          </w:tcPr>
          <w:p>
            <w:pPr>
              <w:spacing w:after="0"/>
              <w:rPr>
                <w:sz w:val="1"/>
                <w:szCs w:val="1"/>
                <w:color w:val="auto"/>
              </w:rPr>
            </w:pPr>
          </w:p>
        </w:tc>
      </w:tr>
      <w:tr>
        <w:trPr>
          <w:trHeight w:val="261"/>
        </w:trPr>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Joel D. Anderson</w:t>
            </w:r>
          </w:p>
        </w:tc>
        <w:tc>
          <w:tcPr>
            <w:tcW w:w="80" w:type="dxa"/>
            <w:vAlign w:val="bottom"/>
          </w:tcPr>
          <w:p>
            <w:pPr>
              <w:spacing w:after="0"/>
              <w:rPr>
                <w:sz w:val="22"/>
                <w:szCs w:val="2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(principal executive officer)</w:t>
            </w:r>
          </w:p>
        </w:tc>
        <w:tc>
          <w:tcPr>
            <w:tcW w:w="0" w:type="dxa"/>
            <w:vAlign w:val="bottom"/>
          </w:tcPr>
          <w:p>
            <w:pPr>
              <w:spacing w:after="0"/>
              <w:rPr>
                <w:sz w:val="1"/>
                <w:szCs w:val="1"/>
                <w:color w:val="auto"/>
              </w:rPr>
            </w:pPr>
          </w:p>
        </w:tc>
      </w:tr>
      <w:tr>
        <w:trPr>
          <w:trHeight w:val="338"/>
        </w:trPr>
        <w:tc>
          <w:tcPr>
            <w:tcW w:w="2440" w:type="dxa"/>
            <w:vAlign w:val="bottom"/>
            <w:tcBorders>
              <w:bottom w:val="single" w:sz="8" w:color="231F20"/>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231F20"/>
              </w:rPr>
              <w:t>/s/ Sabrina Simmons</w:t>
            </w:r>
          </w:p>
        </w:tc>
        <w:tc>
          <w:tcPr>
            <w:tcW w:w="8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Chief Financial Officer</w:t>
            </w:r>
          </w:p>
        </w:tc>
        <w:tc>
          <w:tcPr>
            <w:tcW w:w="0" w:type="dxa"/>
            <w:vAlign w:val="bottom"/>
          </w:tcPr>
          <w:p>
            <w:pPr>
              <w:spacing w:after="0"/>
              <w:rPr>
                <w:sz w:val="1"/>
                <w:szCs w:val="1"/>
                <w:color w:val="auto"/>
              </w:rPr>
            </w:pPr>
          </w:p>
        </w:tc>
      </w:tr>
      <w:tr>
        <w:trPr>
          <w:trHeight w:val="261"/>
        </w:trPr>
        <w:tc>
          <w:tcPr>
            <w:tcW w:w="24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231F20"/>
              </w:rPr>
              <w:t>Sabrina Simmons</w:t>
            </w:r>
          </w:p>
        </w:tc>
        <w:tc>
          <w:tcPr>
            <w:tcW w:w="80" w:type="dxa"/>
            <w:vAlign w:val="bottom"/>
          </w:tcPr>
          <w:p>
            <w:pPr>
              <w:spacing w:after="0"/>
              <w:rPr>
                <w:sz w:val="22"/>
                <w:szCs w:val="2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231F20"/>
                <w:w w:val="99"/>
              </w:rPr>
              <w:t>(principal financial and accounting officer)</w:t>
            </w:r>
          </w:p>
        </w:tc>
        <w:tc>
          <w:tcPr>
            <w:tcW w:w="0" w:type="dxa"/>
            <w:vAlign w:val="bottom"/>
          </w:tcPr>
          <w:p>
            <w:pPr>
              <w:spacing w:after="0"/>
              <w:rPr>
                <w:sz w:val="1"/>
                <w:szCs w:val="1"/>
                <w:color w:val="auto"/>
              </w:rPr>
            </w:pPr>
          </w:p>
        </w:tc>
      </w:tr>
      <w:tr>
        <w:trPr>
          <w:trHeight w:val="332"/>
        </w:trPr>
        <w:tc>
          <w:tcPr>
            <w:tcW w:w="2440" w:type="dxa"/>
            <w:vAlign w:val="bottom"/>
            <w:tcBorders>
              <w:bottom w:val="single" w:sz="8" w:color="231F20"/>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231F20"/>
                <w:w w:val="99"/>
              </w:rPr>
              <w:t>/s/ Glenn Murphy</w:t>
            </w:r>
          </w:p>
        </w:tc>
        <w:tc>
          <w:tcPr>
            <w:tcW w:w="80" w:type="dxa"/>
            <w:vAlign w:val="bottom"/>
          </w:tcPr>
          <w:p>
            <w:pPr>
              <w:spacing w:after="0"/>
              <w:rPr>
                <w:sz w:val="24"/>
                <w:szCs w:val="24"/>
                <w:color w:val="auto"/>
              </w:rPr>
            </w:pPr>
          </w:p>
        </w:tc>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Chairman</w:t>
            </w:r>
          </w:p>
        </w:tc>
        <w:tc>
          <w:tcPr>
            <w:tcW w:w="0" w:type="dxa"/>
            <w:vAlign w:val="bottom"/>
          </w:tcPr>
          <w:p>
            <w:pPr>
              <w:spacing w:after="0"/>
              <w:rPr>
                <w:sz w:val="1"/>
                <w:szCs w:val="1"/>
                <w:color w:val="auto"/>
              </w:rPr>
            </w:pPr>
          </w:p>
        </w:tc>
      </w:tr>
      <w:tr>
        <w:trPr>
          <w:trHeight w:val="261"/>
        </w:trPr>
        <w:tc>
          <w:tcPr>
            <w:tcW w:w="24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231F20"/>
                <w:w w:val="99"/>
              </w:rPr>
              <w:t>Glenn Murphy</w:t>
            </w:r>
          </w:p>
        </w:tc>
        <w:tc>
          <w:tcPr>
            <w:tcW w:w="80" w:type="dxa"/>
            <w:vAlign w:val="bottom"/>
          </w:tcPr>
          <w:p>
            <w:pPr>
              <w:spacing w:after="0"/>
              <w:rPr>
                <w:sz w:val="22"/>
                <w:szCs w:val="22"/>
                <w:color w:val="auto"/>
              </w:rPr>
            </w:pPr>
          </w:p>
        </w:tc>
        <w:tc>
          <w:tcPr>
            <w:tcW w:w="4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2"/>
        </w:trPr>
        <w:tc>
          <w:tcPr>
            <w:tcW w:w="2440" w:type="dxa"/>
            <w:vAlign w:val="bottom"/>
            <w:tcBorders>
              <w:bottom w:val="single" w:sz="8" w:color="231F20"/>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231F20"/>
                <w:w w:val="99"/>
              </w:rPr>
              <w:t>/s/ R. Michael Mohan</w:t>
            </w:r>
          </w:p>
        </w:tc>
        <w:tc>
          <w:tcPr>
            <w:tcW w:w="80" w:type="dxa"/>
            <w:vAlign w:val="bottom"/>
          </w:tcPr>
          <w:p>
            <w:pPr>
              <w:spacing w:after="0"/>
              <w:rPr>
                <w:sz w:val="24"/>
                <w:szCs w:val="24"/>
                <w:color w:val="auto"/>
              </w:rPr>
            </w:pPr>
          </w:p>
        </w:tc>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Director</w:t>
            </w:r>
          </w:p>
        </w:tc>
        <w:tc>
          <w:tcPr>
            <w:tcW w:w="0" w:type="dxa"/>
            <w:vAlign w:val="bottom"/>
          </w:tcPr>
          <w:p>
            <w:pPr>
              <w:spacing w:after="0"/>
              <w:rPr>
                <w:sz w:val="1"/>
                <w:szCs w:val="1"/>
                <w:color w:val="auto"/>
              </w:rPr>
            </w:pPr>
          </w:p>
        </w:tc>
      </w:tr>
      <w:tr>
        <w:trPr>
          <w:trHeight w:val="261"/>
        </w:trPr>
        <w:tc>
          <w:tcPr>
            <w:tcW w:w="24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231F20"/>
                <w:w w:val="99"/>
              </w:rPr>
              <w:t>R. Michael Mohan</w:t>
            </w:r>
          </w:p>
        </w:tc>
        <w:tc>
          <w:tcPr>
            <w:tcW w:w="80" w:type="dxa"/>
            <w:vAlign w:val="bottom"/>
          </w:tcPr>
          <w:p>
            <w:pPr>
              <w:spacing w:after="0"/>
              <w:rPr>
                <w:sz w:val="22"/>
                <w:szCs w:val="22"/>
                <w:color w:val="auto"/>
              </w:rPr>
            </w:pPr>
          </w:p>
        </w:tc>
        <w:tc>
          <w:tcPr>
            <w:tcW w:w="4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44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/s/ David Lubek</w:t>
            </w:r>
          </w:p>
        </w:tc>
        <w:tc>
          <w:tcPr>
            <w:tcW w:w="80" w:type="dxa"/>
            <w:vAlign w:val="bottom"/>
          </w:tcPr>
          <w:p>
            <w:pPr>
              <w:spacing w:after="0"/>
              <w:rPr>
                <w:sz w:val="24"/>
                <w:szCs w:val="24"/>
                <w:color w:val="auto"/>
              </w:rPr>
            </w:pPr>
          </w:p>
        </w:tc>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Director</w:t>
            </w:r>
          </w:p>
        </w:tc>
        <w:tc>
          <w:tcPr>
            <w:tcW w:w="0" w:type="dxa"/>
            <w:vAlign w:val="bottom"/>
          </w:tcPr>
          <w:p>
            <w:pPr>
              <w:spacing w:after="0"/>
              <w:rPr>
                <w:sz w:val="1"/>
                <w:szCs w:val="1"/>
                <w:color w:val="auto"/>
              </w:rPr>
            </w:pPr>
          </w:p>
        </w:tc>
      </w:tr>
      <w:tr>
        <w:trPr>
          <w:trHeight w:val="261"/>
        </w:trPr>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9"/>
              </w:rPr>
              <w:t>David Lubek</w:t>
            </w:r>
          </w:p>
        </w:tc>
        <w:tc>
          <w:tcPr>
            <w:tcW w:w="80" w:type="dxa"/>
            <w:vAlign w:val="bottom"/>
          </w:tcPr>
          <w:p>
            <w:pPr>
              <w:spacing w:after="0"/>
              <w:rPr>
                <w:sz w:val="22"/>
                <w:szCs w:val="22"/>
                <w:color w:val="auto"/>
              </w:rPr>
            </w:pPr>
          </w:p>
        </w:tc>
        <w:tc>
          <w:tcPr>
            <w:tcW w:w="4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44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20"/>
                <w:szCs w:val="20"/>
                <w:color w:val="231F20"/>
              </w:rPr>
              <w:t>/s/ Cameron Breitner</w:t>
            </w:r>
          </w:p>
        </w:tc>
        <w:tc>
          <w:tcPr>
            <w:tcW w:w="80" w:type="dxa"/>
            <w:vAlign w:val="bottom"/>
          </w:tcPr>
          <w:p>
            <w:pPr>
              <w:spacing w:after="0"/>
              <w:rPr>
                <w:sz w:val="24"/>
                <w:szCs w:val="24"/>
                <w:color w:val="auto"/>
              </w:rPr>
            </w:pPr>
          </w:p>
        </w:tc>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Director</w:t>
            </w:r>
          </w:p>
        </w:tc>
        <w:tc>
          <w:tcPr>
            <w:tcW w:w="0" w:type="dxa"/>
            <w:vAlign w:val="bottom"/>
          </w:tcPr>
          <w:p>
            <w:pPr>
              <w:spacing w:after="0"/>
              <w:rPr>
                <w:sz w:val="1"/>
                <w:szCs w:val="1"/>
                <w:color w:val="auto"/>
              </w:rPr>
            </w:pPr>
          </w:p>
        </w:tc>
      </w:tr>
      <w:tr>
        <w:trPr>
          <w:trHeight w:val="261"/>
        </w:trPr>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Cameron Breitner</w:t>
            </w:r>
          </w:p>
        </w:tc>
        <w:tc>
          <w:tcPr>
            <w:tcW w:w="80" w:type="dxa"/>
            <w:vAlign w:val="bottom"/>
          </w:tcPr>
          <w:p>
            <w:pPr>
              <w:spacing w:after="0"/>
              <w:rPr>
                <w:sz w:val="22"/>
                <w:szCs w:val="22"/>
                <w:color w:val="auto"/>
              </w:rPr>
            </w:pPr>
          </w:p>
        </w:tc>
        <w:tc>
          <w:tcPr>
            <w:tcW w:w="4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440" w:type="dxa"/>
            <w:vAlign w:val="bottom"/>
            <w:tcBorders>
              <w:bottom w:val="single" w:sz="8" w:color="231F20"/>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231F20"/>
                <w:w w:val="99"/>
              </w:rPr>
              <w:t>/s/ Gary Briggs</w:t>
            </w:r>
          </w:p>
        </w:tc>
        <w:tc>
          <w:tcPr>
            <w:tcW w:w="80" w:type="dxa"/>
            <w:vAlign w:val="bottom"/>
          </w:tcPr>
          <w:p>
            <w:pPr>
              <w:spacing w:after="0"/>
              <w:rPr>
                <w:sz w:val="24"/>
                <w:szCs w:val="24"/>
                <w:color w:val="auto"/>
              </w:rPr>
            </w:pPr>
          </w:p>
        </w:tc>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Director</w:t>
            </w:r>
          </w:p>
        </w:tc>
        <w:tc>
          <w:tcPr>
            <w:tcW w:w="0" w:type="dxa"/>
            <w:vAlign w:val="bottom"/>
          </w:tcPr>
          <w:p>
            <w:pPr>
              <w:spacing w:after="0"/>
              <w:rPr>
                <w:sz w:val="1"/>
                <w:szCs w:val="1"/>
                <w:color w:val="auto"/>
              </w:rPr>
            </w:pPr>
          </w:p>
        </w:tc>
      </w:tr>
      <w:tr>
        <w:trPr>
          <w:trHeight w:val="261"/>
        </w:trPr>
        <w:tc>
          <w:tcPr>
            <w:tcW w:w="24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231F20"/>
                <w:w w:val="99"/>
              </w:rPr>
              <w:t>Gary Briggs</w:t>
            </w:r>
          </w:p>
        </w:tc>
        <w:tc>
          <w:tcPr>
            <w:tcW w:w="80" w:type="dxa"/>
            <w:vAlign w:val="bottom"/>
          </w:tcPr>
          <w:p>
            <w:pPr>
              <w:spacing w:after="0"/>
              <w:rPr>
                <w:sz w:val="22"/>
                <w:szCs w:val="22"/>
                <w:color w:val="auto"/>
              </w:rPr>
            </w:pPr>
          </w:p>
        </w:tc>
        <w:tc>
          <w:tcPr>
            <w:tcW w:w="4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440" w:type="dxa"/>
            <w:vAlign w:val="bottom"/>
            <w:tcBorders>
              <w:bottom w:val="single" w:sz="8" w:color="231F20"/>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231F20"/>
                <w:w w:val="99"/>
              </w:rPr>
              <w:t>/s/ Nishad Chande</w:t>
            </w:r>
          </w:p>
        </w:tc>
        <w:tc>
          <w:tcPr>
            <w:tcW w:w="80" w:type="dxa"/>
            <w:vAlign w:val="bottom"/>
          </w:tcPr>
          <w:p>
            <w:pPr>
              <w:spacing w:after="0"/>
              <w:rPr>
                <w:sz w:val="24"/>
                <w:szCs w:val="24"/>
                <w:color w:val="auto"/>
              </w:rPr>
            </w:pPr>
          </w:p>
        </w:tc>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Director</w:t>
            </w:r>
          </w:p>
        </w:tc>
        <w:tc>
          <w:tcPr>
            <w:tcW w:w="0" w:type="dxa"/>
            <w:vAlign w:val="bottom"/>
          </w:tcPr>
          <w:p>
            <w:pPr>
              <w:spacing w:after="0"/>
              <w:rPr>
                <w:sz w:val="1"/>
                <w:szCs w:val="1"/>
                <w:color w:val="auto"/>
              </w:rPr>
            </w:pPr>
          </w:p>
        </w:tc>
      </w:tr>
      <w:tr>
        <w:trPr>
          <w:trHeight w:val="261"/>
        </w:trPr>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Nishad Chande</w:t>
            </w:r>
          </w:p>
        </w:tc>
        <w:tc>
          <w:tcPr>
            <w:tcW w:w="80" w:type="dxa"/>
            <w:vAlign w:val="bottom"/>
          </w:tcPr>
          <w:p>
            <w:pPr>
              <w:spacing w:after="0"/>
              <w:rPr>
                <w:sz w:val="22"/>
                <w:szCs w:val="22"/>
                <w:color w:val="auto"/>
              </w:rPr>
            </w:pPr>
          </w:p>
        </w:tc>
        <w:tc>
          <w:tcPr>
            <w:tcW w:w="4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44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20"/>
                <w:szCs w:val="20"/>
                <w:color w:val="231F20"/>
              </w:rPr>
              <w:t>/s/ Mary Sullivan</w:t>
            </w:r>
          </w:p>
        </w:tc>
        <w:tc>
          <w:tcPr>
            <w:tcW w:w="80" w:type="dxa"/>
            <w:vAlign w:val="bottom"/>
          </w:tcPr>
          <w:p>
            <w:pPr>
              <w:spacing w:after="0"/>
              <w:rPr>
                <w:sz w:val="24"/>
                <w:szCs w:val="24"/>
                <w:color w:val="auto"/>
              </w:rPr>
            </w:pPr>
          </w:p>
        </w:tc>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Director</w:t>
            </w:r>
          </w:p>
        </w:tc>
        <w:tc>
          <w:tcPr>
            <w:tcW w:w="0" w:type="dxa"/>
            <w:vAlign w:val="bottom"/>
          </w:tcPr>
          <w:p>
            <w:pPr>
              <w:spacing w:after="0"/>
              <w:rPr>
                <w:sz w:val="1"/>
                <w:szCs w:val="1"/>
                <w:color w:val="auto"/>
              </w:rPr>
            </w:pPr>
          </w:p>
        </w:tc>
      </w:tr>
      <w:tr>
        <w:trPr>
          <w:trHeight w:val="261"/>
        </w:trPr>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rPr>
              <w:t>Mary Sullivan</w:t>
            </w:r>
          </w:p>
        </w:tc>
        <w:tc>
          <w:tcPr>
            <w:tcW w:w="80" w:type="dxa"/>
            <w:vAlign w:val="bottom"/>
          </w:tcPr>
          <w:p>
            <w:pPr>
              <w:spacing w:after="0"/>
              <w:rPr>
                <w:sz w:val="22"/>
                <w:szCs w:val="22"/>
                <w:color w:val="auto"/>
              </w:rPr>
            </w:pPr>
          </w:p>
        </w:tc>
        <w:tc>
          <w:tcPr>
            <w:tcW w:w="4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440" w:type="dxa"/>
            <w:vAlign w:val="bottom"/>
            <w:tcBorders>
              <w:bottom w:val="single" w:sz="8" w:color="231F20"/>
            </w:tcBorders>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/s/ Iris Yen</w:t>
            </w:r>
          </w:p>
        </w:tc>
        <w:tc>
          <w:tcPr>
            <w:tcW w:w="80" w:type="dxa"/>
            <w:vAlign w:val="bottom"/>
          </w:tcPr>
          <w:p>
            <w:pPr>
              <w:spacing w:after="0"/>
              <w:rPr>
                <w:sz w:val="24"/>
                <w:szCs w:val="24"/>
                <w:color w:val="auto"/>
              </w:rPr>
            </w:pPr>
          </w:p>
        </w:tc>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231F20"/>
              </w:rPr>
              <w:t>Director</w:t>
            </w:r>
          </w:p>
        </w:tc>
        <w:tc>
          <w:tcPr>
            <w:tcW w:w="0" w:type="dxa"/>
            <w:vAlign w:val="bottom"/>
          </w:tcPr>
          <w:p>
            <w:pPr>
              <w:spacing w:after="0"/>
              <w:rPr>
                <w:sz w:val="1"/>
                <w:szCs w:val="1"/>
                <w:color w:val="auto"/>
              </w:rPr>
            </w:pPr>
          </w:p>
        </w:tc>
      </w:tr>
      <w:tr>
        <w:trPr>
          <w:trHeight w:val="261"/>
        </w:trPr>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231F20"/>
                <w:w w:val="98"/>
              </w:rPr>
              <w:t>Iris Yen</w:t>
            </w:r>
          </w:p>
        </w:tc>
        <w:tc>
          <w:tcPr>
            <w:tcW w:w="80" w:type="dxa"/>
            <w:vAlign w:val="bottom"/>
          </w:tcPr>
          <w:p>
            <w:pPr>
              <w:spacing w:after="0"/>
              <w:rPr>
                <w:sz w:val="22"/>
                <w:szCs w:val="22"/>
                <w:color w:val="auto"/>
              </w:rPr>
            </w:pPr>
          </w:p>
        </w:tc>
        <w:tc>
          <w:tcPr>
            <w:tcW w:w="4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2"/>
        </w:trPr>
        <w:tc>
          <w:tcPr>
            <w:tcW w:w="244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231F20"/>
              </w:rPr>
              <w:t>/s/ Christopher J. Stadler</w:t>
            </w:r>
          </w:p>
        </w:tc>
        <w:tc>
          <w:tcPr>
            <w:tcW w:w="80" w:type="dxa"/>
            <w:vAlign w:val="bottom"/>
          </w:tcPr>
          <w:p>
            <w:pPr>
              <w:spacing w:after="0"/>
              <w:rPr>
                <w:sz w:val="24"/>
                <w:szCs w:val="24"/>
                <w:color w:val="auto"/>
              </w:rPr>
            </w:pPr>
          </w:p>
        </w:tc>
        <w:tc>
          <w:tcPr>
            <w:tcW w:w="4320" w:type="dxa"/>
            <w:vAlign w:val="bottom"/>
            <w:vMerge w:val="restart"/>
          </w:tcPr>
          <w:p>
            <w:pPr>
              <w:ind w:left="1880"/>
              <w:spacing w:after="0"/>
              <w:rPr>
                <w:sz w:val="20"/>
                <w:szCs w:val="20"/>
                <w:color w:val="auto"/>
              </w:rPr>
            </w:pPr>
            <w:r>
              <w:rPr>
                <w:rFonts w:ascii="Times New Roman" w:cs="Times New Roman" w:eastAsia="Times New Roman" w:hAnsi="Times New Roman"/>
                <w:sz w:val="20"/>
                <w:szCs w:val="20"/>
                <w:color w:val="231F20"/>
              </w:rPr>
              <w:t>Director</w:t>
            </w:r>
          </w:p>
        </w:tc>
        <w:tc>
          <w:tcPr>
            <w:tcW w:w="0" w:type="dxa"/>
            <w:vAlign w:val="bottom"/>
          </w:tcPr>
          <w:p>
            <w:pPr>
              <w:spacing w:after="0"/>
              <w:rPr>
                <w:sz w:val="1"/>
                <w:szCs w:val="1"/>
                <w:color w:val="auto"/>
              </w:rPr>
            </w:pPr>
          </w:p>
        </w:tc>
      </w:tr>
      <w:tr>
        <w:trPr>
          <w:trHeight w:val="261"/>
        </w:trPr>
        <w:tc>
          <w:tcPr>
            <w:tcW w:w="242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Christopher J. Stadler</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-4243070</wp:posOffset>
            </wp:positionV>
            <wp:extent cx="5943600" cy="383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7">
                      <a:extLst>
                        <a:ext uri="{28A0092B-C50C-407E-A947-70E740481C1C}"/>
                      </a:extLst>
                    </a:blip>
                    <a:srcRect/>
                    <a:stretch>
                      <a:fillRect/>
                    </a:stretch>
                  </pic:blipFill>
                  <pic:spPr bwMode="auto">
                    <a:xfrm>
                      <a:off x="0" y="0"/>
                      <a:ext cx="5943600" cy="383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b w:val="1"/>
          <w:bCs w:val="1"/>
          <w:color w:val="231F20"/>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-363855</wp:posOffset>
                </wp:positionH>
                <wp:positionV relativeFrom="paragraph">
                  <wp:posOffset>15240</wp:posOffset>
                </wp:positionV>
                <wp:extent cx="154432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432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499pt,1.2pt" to="92.95pt,1.2pt" o:allowincell="f" strokecolor="#231F20" strokeweight="0.5pt"/>
            </w:pict>
          </mc:Fallback>
        </mc:AlternateConten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13, 2026</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13, 2026</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13, 2026</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13, 2026</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13, 2026</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13, 2026</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13, 2026</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13, 2026</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13, 2026</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March 13, 2026</w:t>
      </w:r>
    </w:p>
    <w:p>
      <w:pPr>
        <w:spacing w:after="0" w:line="3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231F20"/>
        </w:rPr>
        <w:t>March 13, 2026</w:t>
      </w:r>
    </w:p>
    <w:p>
      <w:pPr>
        <w:spacing w:after="0" w:line="512" w:lineRule="exact"/>
        <w:rPr>
          <w:sz w:val="20"/>
          <w:szCs w:val="20"/>
          <w:color w:val="auto"/>
        </w:rPr>
      </w:pPr>
    </w:p>
    <w:p>
      <w:pPr>
        <w:sectPr>
          <w:pgSz w:w="11880" w:h="15480" w:orient="portrait"/>
          <w:cols w:equalWidth="0" w:num="2">
            <w:col w:w="6840" w:space="660"/>
            <w:col w:w="1860"/>
          </w:cols>
          <w:pgMar w:left="1260" w:top="1236" w:right="12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106</w:t>
      </w:r>
    </w:p>
    <w:p>
      <w:pPr>
        <w:sectPr>
          <w:pgSz w:w="11880" w:h="15480" w:orient="portrait"/>
          <w:cols w:equalWidth="0" w:num="1">
            <w:col w:w="9360"/>
          </w:cols>
          <w:pgMar w:left="1260" w:top="1236" w:right="1260" w:bottom="0" w:gutter="0" w:footer="0" w:header="0"/>
          <w:type w:val="continuous"/>
        </w:sectPr>
      </w:pPr>
    </w:p>
    <w:bookmarkStart w:id="116" w:name="page117"/>
    <w:bookmarkEnd w:id="116"/>
    <w:p>
      <w:pPr>
        <w:spacing w:after="0"/>
        <w:rPr>
          <w:sz w:val="20"/>
          <w:szCs w:val="20"/>
          <w:color w:val="auto"/>
        </w:rPr>
      </w:pPr>
      <w:r>
        <w:rPr>
          <w:rFonts w:ascii="Arial" w:cs="Arial" w:eastAsia="Arial" w:hAnsi="Arial"/>
          <w:sz w:val="28"/>
          <w:szCs w:val="28"/>
          <w:b w:val="1"/>
          <w:bCs w:val="1"/>
          <w:color w:val="FFFFFF"/>
        </w:rPr>
        <w:t>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Glenn Murphy</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FFFFFF"/>
        </w:rPr>
        <w:t>Chairman</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Joel D. Anderson</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FFFFFF"/>
        </w:rPr>
        <w:t>Chief Executive Officer</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R. Michael (Mike) Mohan</w:t>
      </w:r>
    </w:p>
    <w:p>
      <w:pPr>
        <w:spacing w:after="0" w:line="51" w:lineRule="exact"/>
        <w:rPr>
          <w:sz w:val="20"/>
          <w:szCs w:val="20"/>
          <w:color w:val="auto"/>
        </w:rPr>
      </w:pPr>
    </w:p>
    <w:p>
      <w:pPr>
        <w:ind w:right="600"/>
        <w:spacing w:after="0" w:line="304" w:lineRule="auto"/>
        <w:rPr>
          <w:sz w:val="20"/>
          <w:szCs w:val="20"/>
          <w:color w:val="auto"/>
        </w:rPr>
      </w:pPr>
      <w:r>
        <w:rPr>
          <w:rFonts w:ascii="Arial" w:cs="Arial" w:eastAsia="Arial" w:hAnsi="Arial"/>
          <w:sz w:val="22"/>
          <w:szCs w:val="22"/>
          <w:color w:val="FFFFFF"/>
        </w:rPr>
        <w:t>Former President and Chief Operating Officer of Best Buy</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Iris Yen</w:t>
      </w:r>
    </w:p>
    <w:p>
      <w:pPr>
        <w:spacing w:after="0" w:line="51" w:lineRule="exact"/>
        <w:rPr>
          <w:sz w:val="20"/>
          <w:szCs w:val="20"/>
          <w:color w:val="auto"/>
        </w:rPr>
      </w:pPr>
    </w:p>
    <w:p>
      <w:pPr>
        <w:ind w:right="980"/>
        <w:spacing w:after="0" w:line="330" w:lineRule="auto"/>
        <w:rPr>
          <w:sz w:val="20"/>
          <w:szCs w:val="20"/>
          <w:color w:val="auto"/>
        </w:rPr>
      </w:pPr>
      <w:r>
        <w:rPr>
          <w:rFonts w:ascii="Arial" w:cs="Arial" w:eastAsia="Arial" w:hAnsi="Arial"/>
          <w:sz w:val="21"/>
          <w:szCs w:val="21"/>
          <w:color w:val="FFFFFF"/>
        </w:rPr>
        <w:t>Chief Strategy and Transformation Officer of Wella Company</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Cameron Breitner</w:t>
      </w:r>
    </w:p>
    <w:p>
      <w:pPr>
        <w:spacing w:after="0" w:line="51" w:lineRule="exact"/>
        <w:rPr>
          <w:sz w:val="20"/>
          <w:szCs w:val="20"/>
          <w:color w:val="auto"/>
        </w:rPr>
      </w:pPr>
    </w:p>
    <w:p>
      <w:pPr>
        <w:ind w:right="300"/>
        <w:spacing w:after="0" w:line="304" w:lineRule="auto"/>
        <w:rPr>
          <w:sz w:val="20"/>
          <w:szCs w:val="20"/>
          <w:color w:val="auto"/>
        </w:rPr>
      </w:pPr>
      <w:r>
        <w:rPr>
          <w:rFonts w:ascii="Arial" w:cs="Arial" w:eastAsia="Arial" w:hAnsi="Arial"/>
          <w:sz w:val="22"/>
          <w:szCs w:val="22"/>
          <w:color w:val="FFFFFF"/>
        </w:rPr>
        <w:t>Former Managing Partner at CVC Capital Partners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Gary Briggs</w:t>
      </w:r>
    </w:p>
    <w:p>
      <w:pPr>
        <w:spacing w:after="0" w:line="51" w:lineRule="exact"/>
        <w:rPr>
          <w:sz w:val="20"/>
          <w:szCs w:val="20"/>
          <w:color w:val="auto"/>
        </w:rPr>
      </w:pPr>
    </w:p>
    <w:p>
      <w:pPr>
        <w:ind w:right="980"/>
        <w:spacing w:after="0" w:line="304" w:lineRule="auto"/>
        <w:rPr>
          <w:sz w:val="20"/>
          <w:szCs w:val="20"/>
          <w:color w:val="auto"/>
        </w:rPr>
      </w:pPr>
      <w:r>
        <w:rPr>
          <w:rFonts w:ascii="Arial" w:cs="Arial" w:eastAsia="Arial" w:hAnsi="Arial"/>
          <w:sz w:val="22"/>
          <w:szCs w:val="22"/>
          <w:color w:val="FFFFFF"/>
        </w:rPr>
        <w:t>Former Chief Marketing Officer of Meta Platforms, Inc.</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Nishad Chande</w:t>
      </w:r>
    </w:p>
    <w:p>
      <w:pPr>
        <w:spacing w:after="0" w:line="51" w:lineRule="exact"/>
        <w:rPr>
          <w:sz w:val="20"/>
          <w:szCs w:val="20"/>
          <w:color w:val="auto"/>
        </w:rPr>
      </w:pPr>
    </w:p>
    <w:p>
      <w:pPr>
        <w:ind w:right="620"/>
        <w:spacing w:after="0" w:line="330" w:lineRule="auto"/>
        <w:rPr>
          <w:sz w:val="20"/>
          <w:szCs w:val="20"/>
          <w:color w:val="auto"/>
        </w:rPr>
      </w:pPr>
      <w:r>
        <w:rPr>
          <w:rFonts w:ascii="Arial" w:cs="Arial" w:eastAsia="Arial" w:hAnsi="Arial"/>
          <w:sz w:val="21"/>
          <w:szCs w:val="21"/>
          <w:color w:val="FFFFFF"/>
        </w:rPr>
        <w:t>Partner, U.S. Head of Consumer and Co-Head of Business Services at CVC</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David Lubek</w:t>
      </w:r>
    </w:p>
    <w:p>
      <w:pPr>
        <w:spacing w:after="0" w:line="51" w:lineRule="exact"/>
        <w:rPr>
          <w:sz w:val="20"/>
          <w:szCs w:val="20"/>
          <w:color w:val="auto"/>
        </w:rPr>
      </w:pPr>
    </w:p>
    <w:p>
      <w:pPr>
        <w:ind w:right="160"/>
        <w:spacing w:after="0" w:line="304" w:lineRule="auto"/>
        <w:rPr>
          <w:sz w:val="20"/>
          <w:szCs w:val="20"/>
          <w:color w:val="auto"/>
        </w:rPr>
      </w:pPr>
      <w:r>
        <w:rPr>
          <w:rFonts w:ascii="Arial" w:cs="Arial" w:eastAsia="Arial" w:hAnsi="Arial"/>
          <w:sz w:val="22"/>
          <w:szCs w:val="22"/>
          <w:color w:val="FFFFFF"/>
        </w:rPr>
        <w:t>Managing Director, Direct Private Equity at CPP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Christopher J. Stradler</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FFFFFF"/>
        </w:rPr>
        <w:t>Managing Partner at CVC</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Mary Sullivan</w:t>
      </w:r>
    </w:p>
    <w:p>
      <w:pPr>
        <w:spacing w:after="0" w:line="51" w:lineRule="exact"/>
        <w:rPr>
          <w:sz w:val="20"/>
          <w:szCs w:val="20"/>
          <w:color w:val="auto"/>
        </w:rPr>
      </w:pPr>
    </w:p>
    <w:p>
      <w:pPr>
        <w:ind w:right="180"/>
        <w:spacing w:after="0" w:line="304" w:lineRule="auto"/>
        <w:rPr>
          <w:sz w:val="20"/>
          <w:szCs w:val="20"/>
          <w:color w:val="auto"/>
        </w:rPr>
      </w:pPr>
      <w:r>
        <w:rPr>
          <w:rFonts w:ascii="Arial" w:cs="Arial" w:eastAsia="Arial" w:hAnsi="Arial"/>
          <w:sz w:val="22"/>
          <w:szCs w:val="22"/>
          <w:color w:val="FFFFFF"/>
        </w:rPr>
        <w:t>Senior Managing Director and Chief Talent Officer at CPP Investments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8"/>
          <w:szCs w:val="28"/>
          <w:b w:val="1"/>
          <w:bCs w:val="1"/>
          <w:color w:val="FFFFFF"/>
        </w:rPr>
        <w:t>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-838200</wp:posOffset>
            </wp:positionV>
            <wp:extent cx="7315200" cy="98291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8">
                      <a:extLst>
                        <a:ext uri="{28A0092B-C50C-407E-A947-70E740481C1C}"/>
                      </a:extLst>
                    </a:blip>
                    <a:srcRect/>
                    <a:stretch>
                      <a:fillRect/>
                    </a:stretch>
                  </pic:blipFill>
                  <pic:spPr bwMode="auto">
                    <a:xfrm>
                      <a:off x="0" y="0"/>
                      <a:ext cx="7315200" cy="982916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Joel D. Anderson</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FFFFFF"/>
        </w:rPr>
        <w:t>Chief Executive Officer</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Sabrina Simmons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FFFFFF"/>
        </w:rPr>
        <w:t>Chief Financial Officer</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Dan Calista</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FFFFFF"/>
        </w:rPr>
        <w:t>Chief Strategy and Transformation Officer</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Giovanni Insana</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FFFFFF"/>
        </w:rPr>
        <w:t>Chief Legal Officer and Secretary</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Asad Jafari</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FFFFFF"/>
        </w:rPr>
        <w:t>Chief Technology Officer</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Holly May</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FFFFFF"/>
        </w:rPr>
        <w:t>Chief Human Resources Officer</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Michael Romanko</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FFFFFF"/>
        </w:rPr>
        <w:t>Chief Customer and Product Officer</w:t>
      </w: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Joe Venezia</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FFFFFF"/>
        </w:rPr>
        <w:t>Chief Revenue Officer</w:t>
      </w:r>
    </w:p>
    <w:p>
      <w:pPr>
        <w:sectPr>
          <w:pgSz w:w="11880" w:h="15480" w:orient="portrait"/>
          <w:cols w:equalWidth="0" w:num="2">
            <w:col w:w="4320" w:space="720"/>
            <w:col w:w="4320"/>
          </w:cols>
          <w:pgMar w:left="1080" w:top="999" w:right="1440"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2601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9">
                      <a:extLst>
                        <a:ext uri="{28A0092B-C50C-407E-A947-70E740481C1C}"/>
                      </a:extLst>
                    </a:blip>
                    <a:srcRect/>
                    <a:stretch>
                      <a:fillRect/>
                    </a:stretch>
                  </pic:blipFill>
                  <pic:spPr bwMode="auto">
                    <a:xfrm>
                      <a:off x="0" y="0"/>
                      <a:ext cx="7543800" cy="2601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8"/>
          <w:szCs w:val="28"/>
          <w:b w:val="1"/>
          <w:bCs w:val="1"/>
          <w:color w:val="231F20"/>
        </w:rPr>
        <w:t>Petco</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color w:val="231F20"/>
        </w:rPr>
        <w:t>petco.com</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7"/>
          <w:szCs w:val="27"/>
          <w:b w:val="1"/>
          <w:bCs w:val="1"/>
          <w:color w:val="231F20"/>
        </w:rPr>
        <w:t>Petco National Support Center</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231F20"/>
        </w:rPr>
        <w:t>10850 Via Frontera</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231F20"/>
        </w:rPr>
        <w:t>San Diego, CA 92127</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8"/>
          <w:szCs w:val="28"/>
          <w:b w:val="1"/>
          <w:bCs w:val="1"/>
          <w:color w:val="231F20"/>
        </w:rPr>
        <w:t>Principal Investor Contact</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color w:val="231F20"/>
        </w:rPr>
        <w:t>InvestorRelations@petco.com</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231F20"/>
        </w:rPr>
        <w:t>ir.petco.com</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8"/>
          <w:szCs w:val="28"/>
          <w:b w:val="1"/>
          <w:bCs w:val="1"/>
          <w:color w:val="231F20"/>
        </w:rPr>
        <w:t>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color w:val="231F20"/>
        </w:rPr>
        <w:t>Listed on Nasdaq</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231F20"/>
        </w:rPr>
        <w:t>Stock symbol WOOF</w:t>
      </w:r>
    </w:p>
    <w:sectPr>
      <w:pgSz w:w="11880" w:h="15480" w:orient="portrait"/>
      <w:cols w:equalWidth="0" w:num="1">
        <w:col w:w="9360"/>
      </w:cols>
      <w:pgMar w:left="10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lowerRoman"/>
      <w:start w:val="7"/>
    </w:lvl>
  </w:abstractNum>
  <w:abstractNum w:abstractNumId="1">
    <w:nsid w:val="2443A858"/>
    <w:multiLevelType w:val="hybridMultilevel"/>
    <w:lvl w:ilvl="0">
      <w:lvlJc w:val="left"/>
      <w:lvlText w:val="(%1)"/>
      <w:numFmt w:val="lowerRoman"/>
      <w:start w:val="9"/>
    </w:lvl>
  </w:abstractNum>
  <w:abstractNum w:abstractNumId="2">
    <w:nsid w:val="2D1D5AE9"/>
    <w:multiLevelType w:val="hybridMultilevel"/>
    <w:lvl w:ilvl="0">
      <w:lvlJc w:val="left"/>
      <w:lvlText w:val="(%1)"/>
      <w:numFmt w:val="lowerRoman"/>
      <w:start w:val="13"/>
    </w:lvl>
  </w:abstractNum>
  <w:abstractNum w:abstractNumId="3">
    <w:nsid w:val="6763845E"/>
    <w:multiLevelType w:val="hybridMultilevel"/>
    <w:lvl w:ilvl="0">
      <w:lvlJc w:val="left"/>
      <w:lvlText w:val="(%1)"/>
      <w:numFmt w:val="lowerRoman"/>
      <w:start w:val="22"/>
    </w:lvl>
  </w:abstractNum>
  <w:abstractNum w:abstractNumId="4">
    <w:nsid w:val="75A2A8D4"/>
    <w:multiLevelType w:val="hybridMultilevel"/>
    <w:lvl w:ilvl="0">
      <w:lvlJc w:val="left"/>
      <w:lvlText w:val="շ"/>
      <w:numFmt w:val="bullet"/>
      <w:start w:val="1"/>
    </w:lvl>
  </w:abstractNum>
  <w:abstractNum w:abstractNumId="5">
    <w:nsid w:val="8EDBDAB"/>
    <w:multiLevelType w:val="hybridMultilevel"/>
    <w:lvl w:ilvl="0">
      <w:lvlJc w:val="left"/>
      <w:lvlText w:val="ն"/>
      <w:numFmt w:val="bullet"/>
      <w:start w:val="1"/>
    </w:lvl>
  </w:abstractNum>
  <w:abstractNum w:abstractNumId="6">
    <w:nsid w:val="79838CB2"/>
    <w:multiLevelType w:val="hybridMultilevel"/>
    <w:lvl w:ilvl="0">
      <w:lvlJc w:val="left"/>
      <w:lvlText w:val="(%1)"/>
      <w:numFmt w:val="lowerRoman"/>
      <w:start w:val="17"/>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2"/>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4"/>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2"/>
    </w:lvl>
  </w:abstractNum>
  <w:abstractNum w:abstractNumId="40">
    <w:nsid w:val="70A64E2A"/>
    <w:multiLevelType w:val="hybridMultilevel"/>
    <w:lvl w:ilvl="0">
      <w:lvlJc w:val="left"/>
      <w:lvlText w:val="%1"/>
      <w:numFmt w:val="decimal"/>
      <w:start w:val="97"/>
    </w:lvl>
  </w:abstractNum>
  <w:abstractNum w:abstractNumId="41">
    <w:nsid w:val="6A2342EC"/>
    <w:multiLevelType w:val="hybridMultilevel"/>
    <w:lvl w:ilvl="0">
      <w:lvlJc w:val="left"/>
      <w:lvlText w:val="*"/>
      <w:numFmt w:val="bullet"/>
      <w:start w:val="1"/>
    </w:lvl>
    <w:lvl w:ilvl="1">
      <w:lvlJc w:val="left"/>
      <w:lvlText w:val="%2"/>
      <w:numFmt w:val="decimal"/>
      <w:start w:val="104"/>
    </w:lvl>
  </w:abstractNum>
  <w:abstractNum w:abstractNumId="42">
    <w:nsid w:val="2A487CB0"/>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2026-05-14T15:36:16Z</dcterms:created>
  <dcterms:modified xsi:type="dcterms:W3CDTF">2026-05-14T15:36:16Z</dcterms:modified>
</cp:coreProperties>
</file>